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BA8" w:rsidRDefault="009B2BA8" w:rsidP="009B2BA8">
      <w:pPr>
        <w:pStyle w:val="2"/>
        <w:tabs>
          <w:tab w:val="clear" w:pos="567"/>
          <w:tab w:val="left" w:pos="0"/>
        </w:tabs>
        <w:ind w:left="0" w:firstLine="0"/>
        <w:rPr>
          <w:lang w:val="el-GR"/>
        </w:rPr>
      </w:pPr>
      <w:bookmarkStart w:id="0" w:name="_Toc88476370"/>
      <w:bookmarkStart w:id="1" w:name="_Toc88488275"/>
      <w:bookmarkStart w:id="2" w:name="_Toc204701507"/>
      <w:bookmarkStart w:id="3" w:name="_Hlk205196324"/>
      <w:r>
        <w:rPr>
          <w:rFonts w:ascii="Calibri" w:hAnsi="Calibri" w:cs="Calibri"/>
          <w:lang w:val="el-GR"/>
        </w:rPr>
        <w:t>ΠΑΡΑΡΤΗΜΑ IV – Υπόδειγμα Οικονομικής Προσφοράς</w:t>
      </w:r>
      <w:bookmarkEnd w:id="0"/>
      <w:bookmarkEnd w:id="1"/>
      <w:bookmarkEnd w:id="2"/>
      <w:r>
        <w:rPr>
          <w:rFonts w:ascii="Calibri" w:hAnsi="Calibri" w:cs="Calibri"/>
          <w:lang w:val="el-GR"/>
        </w:rPr>
        <w:t xml:space="preserve"> </w:t>
      </w:r>
    </w:p>
    <w:bookmarkEnd w:id="3"/>
    <w:p w:rsidR="009B2BA8" w:rsidRPr="003E3D14" w:rsidRDefault="009B2BA8" w:rsidP="009B2BA8">
      <w:pPr>
        <w:spacing w:after="0"/>
        <w:rPr>
          <w:b/>
          <w:bCs/>
          <w:lang w:val="el-GR"/>
        </w:rPr>
      </w:pPr>
      <w:r>
        <w:rPr>
          <w:b/>
          <w:bCs/>
          <w:lang w:val="el-GR"/>
        </w:rPr>
        <w:t>ΘΕΜΑ:</w:t>
      </w:r>
      <w:r>
        <w:rPr>
          <w:lang w:val="el-GR"/>
        </w:rPr>
        <w:t xml:space="preserve"> </w:t>
      </w:r>
      <w:r w:rsidRPr="003E3D14">
        <w:rPr>
          <w:b/>
          <w:bCs/>
          <w:lang w:val="el-GR"/>
        </w:rPr>
        <w:t>Οικονομική Προσφορά για το Έργο «Ενέργειες Ενημέρωσης &amp; Ευαισθητοποίησης»</w:t>
      </w:r>
    </w:p>
    <w:p w:rsidR="009B2BA8" w:rsidRPr="003E3D14" w:rsidRDefault="009B2BA8" w:rsidP="009B2BA8">
      <w:pPr>
        <w:spacing w:after="0"/>
        <w:rPr>
          <w:b/>
          <w:bCs/>
          <w:lang w:val="el-GR"/>
        </w:rPr>
      </w:pPr>
    </w:p>
    <w:p w:rsidR="009B2BA8" w:rsidRDefault="009B2BA8" w:rsidP="009B2BA8">
      <w:pPr>
        <w:spacing w:after="0"/>
        <w:rPr>
          <w:b/>
          <w:bCs/>
          <w:color w:val="0F0A34"/>
          <w:lang w:val="el-GR"/>
        </w:rPr>
      </w:pPr>
    </w:p>
    <w:p w:rsidR="009B2BA8" w:rsidRDefault="009B2BA8" w:rsidP="009B2BA8">
      <w:pPr>
        <w:spacing w:after="0"/>
        <w:jc w:val="center"/>
        <w:rPr>
          <w:lang w:val="el-GR"/>
        </w:rPr>
      </w:pPr>
      <w:r>
        <w:rPr>
          <w:b/>
          <w:bCs/>
          <w:lang w:val="el-GR"/>
        </w:rPr>
        <w:t>ΠΙΝΑΚΑΣ ΟΙΚΟΝΟΜΙΚΗΣ ΠΡΟΣΦΟΡΑΣ.</w:t>
      </w:r>
    </w:p>
    <w:p w:rsidR="009B2BA8" w:rsidRDefault="009B2BA8" w:rsidP="009B2BA8">
      <w:pPr>
        <w:spacing w:after="0"/>
        <w:jc w:val="center"/>
        <w:rPr>
          <w:lang w:val="el-GR"/>
        </w:rPr>
      </w:pPr>
    </w:p>
    <w:p w:rsidR="009B2BA8" w:rsidRPr="009B2BA8" w:rsidRDefault="009B2BA8" w:rsidP="009B2BA8">
      <w:pPr>
        <w:spacing w:after="0"/>
        <w:jc w:val="center"/>
        <w:rPr>
          <w:u w:val="single"/>
          <w:lang w:val="el-GR"/>
        </w:rPr>
      </w:pPr>
      <w:r>
        <w:rPr>
          <w:u w:val="single"/>
          <w:lang w:val="el-GR"/>
        </w:rPr>
        <w:t>(Κάθε στήλη του Πίνακα συμπληρώνεται ολογράφως και αριθμητικώς)</w:t>
      </w:r>
    </w:p>
    <w:p w:rsidR="009B2BA8" w:rsidRPr="009B2BA8" w:rsidRDefault="009B2BA8" w:rsidP="009B2BA8">
      <w:pPr>
        <w:spacing w:after="0"/>
        <w:jc w:val="center"/>
        <w:rPr>
          <w:u w:val="single"/>
          <w:lang w:val="el-GR"/>
        </w:rPr>
      </w:pPr>
    </w:p>
    <w:tbl>
      <w:tblPr>
        <w:tblW w:w="9173" w:type="dxa"/>
        <w:tblBorders>
          <w:top w:val="single" w:sz="4" w:space="0" w:color="156082"/>
          <w:left w:val="single" w:sz="4" w:space="0" w:color="156082"/>
          <w:bottom w:val="single" w:sz="4" w:space="0" w:color="156082"/>
          <w:right w:val="single" w:sz="4" w:space="0" w:color="156082"/>
        </w:tblBorders>
        <w:tblLayout w:type="fixed"/>
        <w:tblLook w:val="04A0" w:firstRow="1" w:lastRow="0" w:firstColumn="1" w:lastColumn="0" w:noHBand="0" w:noVBand="1"/>
      </w:tblPr>
      <w:tblGrid>
        <w:gridCol w:w="5316"/>
        <w:gridCol w:w="2022"/>
        <w:gridCol w:w="1835"/>
      </w:tblGrid>
      <w:tr w:rsidR="009B2BA8" w:rsidRPr="00622C2B" w:rsidTr="00321D4C">
        <w:trPr>
          <w:trHeight w:val="50"/>
        </w:trPr>
        <w:tc>
          <w:tcPr>
            <w:tcW w:w="5316" w:type="dxa"/>
            <w:tcBorders>
              <w:bottom w:val="nil"/>
              <w:right w:val="nil"/>
            </w:tcBorders>
            <w:shd w:val="clear" w:color="auto" w:fill="156082"/>
          </w:tcPr>
          <w:p w:rsidR="009B2BA8" w:rsidRPr="00622C2B" w:rsidRDefault="009B2BA8" w:rsidP="00321D4C">
            <w:pPr>
              <w:spacing w:after="0"/>
              <w:jc w:val="center"/>
              <w:rPr>
                <w:rFonts w:eastAsia="Calibri,Bold"/>
                <w:b/>
                <w:bCs/>
                <w:color w:val="FFFFFF"/>
                <w:sz w:val="20"/>
                <w:szCs w:val="20"/>
                <w:lang w:val="el-GR"/>
              </w:rPr>
            </w:pPr>
            <w:r w:rsidRPr="00622C2B">
              <w:rPr>
                <w:rFonts w:eastAsia="Calibri,Bold"/>
                <w:b/>
                <w:bCs/>
                <w:color w:val="FFFFFF"/>
                <w:sz w:val="20"/>
                <w:szCs w:val="20"/>
                <w:lang w:val="el-GR"/>
              </w:rPr>
              <w:t>ΠΑΡΑΔΟΤΕΑ</w:t>
            </w:r>
          </w:p>
        </w:tc>
        <w:tc>
          <w:tcPr>
            <w:tcW w:w="2022" w:type="dxa"/>
            <w:shd w:val="clear" w:color="auto" w:fill="156082"/>
          </w:tcPr>
          <w:p w:rsidR="009B2BA8" w:rsidRPr="00622C2B" w:rsidRDefault="009B2BA8" w:rsidP="00321D4C">
            <w:pPr>
              <w:spacing w:after="0"/>
              <w:jc w:val="center"/>
              <w:rPr>
                <w:rFonts w:eastAsia="Calibri,Bold"/>
                <w:b/>
                <w:bCs/>
                <w:color w:val="FFFFFF"/>
                <w:sz w:val="20"/>
                <w:szCs w:val="20"/>
                <w:lang w:val="el-GR"/>
              </w:rPr>
            </w:pPr>
            <w:r w:rsidRPr="00622C2B">
              <w:rPr>
                <w:rFonts w:eastAsia="Calibri,Bold"/>
                <w:b/>
                <w:bCs/>
                <w:color w:val="FFFFFF"/>
                <w:sz w:val="20"/>
                <w:szCs w:val="20"/>
                <w:lang w:val="el-GR"/>
              </w:rPr>
              <w:t>ΚΟΣΤΟΣ ΧΩΡΙΣ Φ.Π.Α (€)</w:t>
            </w:r>
          </w:p>
        </w:tc>
        <w:tc>
          <w:tcPr>
            <w:tcW w:w="1835" w:type="dxa"/>
            <w:shd w:val="clear" w:color="auto" w:fill="156082"/>
          </w:tcPr>
          <w:p w:rsidR="009B2BA8" w:rsidRPr="00622C2B" w:rsidRDefault="009B2BA8" w:rsidP="00321D4C">
            <w:pPr>
              <w:spacing w:after="0"/>
              <w:jc w:val="center"/>
              <w:rPr>
                <w:rFonts w:eastAsia="Calibri,Bold"/>
                <w:b/>
                <w:bCs/>
                <w:color w:val="FFFFFF"/>
                <w:sz w:val="20"/>
                <w:szCs w:val="20"/>
                <w:lang w:val="el-GR"/>
              </w:rPr>
            </w:pPr>
            <w:r w:rsidRPr="00622C2B">
              <w:rPr>
                <w:rFonts w:eastAsia="Calibri,Bold"/>
                <w:b/>
                <w:bCs/>
                <w:color w:val="FFFFFF"/>
                <w:sz w:val="20"/>
                <w:szCs w:val="20"/>
                <w:lang w:val="el-GR"/>
              </w:rPr>
              <w:t>ΚΟΣΤΟΣ ΜΕ Φ.Π.Α (€)</w:t>
            </w:r>
          </w:p>
        </w:tc>
      </w:tr>
      <w:tr w:rsidR="009B2BA8" w:rsidRPr="00622C2B" w:rsidTr="00321D4C">
        <w:trPr>
          <w:trHeight w:val="194"/>
        </w:trPr>
        <w:tc>
          <w:tcPr>
            <w:tcW w:w="5316" w:type="dxa"/>
            <w:tcBorders>
              <w:top w:val="single" w:sz="4" w:space="0" w:color="156082"/>
              <w:bottom w:val="single" w:sz="4" w:space="0" w:color="156082"/>
              <w:right w:val="nil"/>
            </w:tcBorders>
            <w:shd w:val="clear" w:color="auto" w:fill="FFFFFF"/>
          </w:tcPr>
          <w:p w:rsidR="009B2BA8" w:rsidRPr="00622C2B" w:rsidRDefault="009B2BA8" w:rsidP="00321D4C">
            <w:pPr>
              <w:widowControl w:val="0"/>
              <w:contextualSpacing/>
              <w:rPr>
                <w:b/>
                <w:bCs/>
                <w:iCs/>
              </w:rPr>
            </w:pPr>
            <w:r w:rsidRPr="00622C2B">
              <w:rPr>
                <w:b/>
                <w:bCs/>
              </w:rPr>
              <w:t>Π3.1</w:t>
            </w:r>
            <w:r w:rsidRPr="00622C2B">
              <w:rPr>
                <w:b/>
                <w:bCs/>
                <w:lang w:val="en-US"/>
              </w:rPr>
              <w:t>:</w:t>
            </w:r>
            <w:r w:rsidRPr="00622C2B">
              <w:rPr>
                <w:b/>
                <w:bCs/>
              </w:rPr>
              <w:t xml:space="preserve"> </w:t>
            </w:r>
            <w:proofErr w:type="spellStart"/>
            <w:r w:rsidRPr="00622C2B">
              <w:rPr>
                <w:b/>
                <w:bCs/>
              </w:rPr>
              <w:t>Πλάνο</w:t>
            </w:r>
            <w:proofErr w:type="spellEnd"/>
            <w:r w:rsidRPr="00622C2B">
              <w:rPr>
                <w:b/>
                <w:bCs/>
              </w:rPr>
              <w:t xml:space="preserve"> </w:t>
            </w:r>
            <w:proofErr w:type="spellStart"/>
            <w:r w:rsidRPr="00622C2B">
              <w:rPr>
                <w:b/>
                <w:bCs/>
              </w:rPr>
              <w:t>δημοσιότητ</w:t>
            </w:r>
            <w:proofErr w:type="spellEnd"/>
            <w:r w:rsidRPr="00622C2B">
              <w:rPr>
                <w:b/>
                <w:bCs/>
              </w:rPr>
              <w:t>ας</w:t>
            </w:r>
            <w:r w:rsidRPr="00622C2B">
              <w:rPr>
                <w:b/>
                <w:bCs/>
                <w:iCs/>
              </w:rPr>
              <w:t xml:space="preserve"> </w:t>
            </w:r>
          </w:p>
          <w:p w:rsidR="009B2BA8" w:rsidRPr="00622C2B" w:rsidRDefault="009B2BA8" w:rsidP="00321D4C">
            <w:pPr>
              <w:spacing w:after="0"/>
              <w:rPr>
                <w:rFonts w:eastAsia="Calibri,Bold"/>
                <w:b/>
                <w:bCs/>
                <w:sz w:val="20"/>
                <w:szCs w:val="20"/>
                <w:lang w:val="el-GR"/>
              </w:rPr>
            </w:pPr>
          </w:p>
        </w:tc>
        <w:tc>
          <w:tcPr>
            <w:tcW w:w="2022" w:type="dxa"/>
            <w:tcBorders>
              <w:top w:val="single" w:sz="4" w:space="0" w:color="156082"/>
              <w:bottom w:val="single" w:sz="4" w:space="0" w:color="156082"/>
            </w:tcBorders>
            <w:shd w:val="clear" w:color="auto" w:fill="auto"/>
          </w:tcPr>
          <w:p w:rsidR="009B2BA8" w:rsidRPr="00622C2B" w:rsidRDefault="009B2BA8" w:rsidP="00321D4C">
            <w:pPr>
              <w:spacing w:after="0"/>
              <w:jc w:val="center"/>
              <w:rPr>
                <w:rFonts w:eastAsia="Calibri,Bold"/>
                <w:b/>
                <w:bCs/>
                <w:sz w:val="20"/>
                <w:szCs w:val="20"/>
                <w:lang w:val="el-GR"/>
              </w:rPr>
            </w:pPr>
            <w:r w:rsidRPr="00CD2815">
              <w:t>……………</w:t>
            </w:r>
          </w:p>
        </w:tc>
        <w:tc>
          <w:tcPr>
            <w:tcW w:w="1835" w:type="dxa"/>
            <w:tcBorders>
              <w:top w:val="single" w:sz="4" w:space="0" w:color="156082"/>
              <w:bottom w:val="single" w:sz="4" w:space="0" w:color="156082"/>
            </w:tcBorders>
            <w:shd w:val="clear" w:color="auto" w:fill="auto"/>
          </w:tcPr>
          <w:p w:rsidR="009B2BA8" w:rsidRPr="00622C2B" w:rsidRDefault="009B2BA8" w:rsidP="00321D4C">
            <w:pPr>
              <w:spacing w:after="0"/>
              <w:jc w:val="center"/>
              <w:rPr>
                <w:rFonts w:eastAsia="Calibri,Bold"/>
                <w:b/>
                <w:bCs/>
                <w:sz w:val="20"/>
                <w:szCs w:val="20"/>
                <w:lang w:val="el-GR"/>
              </w:rPr>
            </w:pPr>
            <w:r w:rsidRPr="00CD2815">
              <w:t>……………</w:t>
            </w:r>
          </w:p>
        </w:tc>
      </w:tr>
      <w:tr w:rsidR="009B2BA8" w:rsidRPr="00622C2B" w:rsidTr="00321D4C">
        <w:trPr>
          <w:trHeight w:val="431"/>
        </w:trPr>
        <w:tc>
          <w:tcPr>
            <w:tcW w:w="5316" w:type="dxa"/>
            <w:tcBorders>
              <w:right w:val="nil"/>
            </w:tcBorders>
            <w:shd w:val="clear" w:color="auto" w:fill="FFFFFF"/>
          </w:tcPr>
          <w:p w:rsidR="009B2BA8" w:rsidRPr="00622C2B" w:rsidRDefault="009B2BA8" w:rsidP="00321D4C">
            <w:pPr>
              <w:widowControl w:val="0"/>
              <w:contextualSpacing/>
              <w:rPr>
                <w:b/>
                <w:bCs/>
                <w:lang w:val="el-GR"/>
              </w:rPr>
            </w:pPr>
            <w:r w:rsidRPr="00622C2B">
              <w:rPr>
                <w:b/>
                <w:bCs/>
                <w:lang w:val="el-GR"/>
              </w:rPr>
              <w:t>Π3.2: Υλικό δημοσιότητας</w:t>
            </w:r>
          </w:p>
          <w:p w:rsidR="009B2BA8" w:rsidRPr="00622C2B" w:rsidRDefault="009B2BA8" w:rsidP="00321D4C">
            <w:pPr>
              <w:widowControl w:val="0"/>
              <w:contextualSpacing/>
              <w:rPr>
                <w:b/>
                <w:bCs/>
                <w:lang w:val="el-GR"/>
              </w:rPr>
            </w:pPr>
            <w:r w:rsidRPr="00622C2B">
              <w:rPr>
                <w:b/>
                <w:bCs/>
                <w:lang w:val="el-GR"/>
              </w:rPr>
              <w:t>Π3.2.1:  Υλικό δημοσιότητας α’</w:t>
            </w:r>
          </w:p>
          <w:p w:rsidR="009B2BA8" w:rsidRPr="00622C2B" w:rsidRDefault="009B2BA8" w:rsidP="00321D4C">
            <w:pPr>
              <w:widowControl w:val="0"/>
              <w:contextualSpacing/>
              <w:rPr>
                <w:b/>
                <w:bCs/>
              </w:rPr>
            </w:pPr>
            <w:r w:rsidRPr="00622C2B">
              <w:rPr>
                <w:b/>
                <w:bCs/>
              </w:rPr>
              <w:t xml:space="preserve">Π3.2.2:  </w:t>
            </w:r>
            <w:proofErr w:type="spellStart"/>
            <w:r w:rsidRPr="00622C2B">
              <w:rPr>
                <w:b/>
                <w:bCs/>
              </w:rPr>
              <w:t>Υλικό</w:t>
            </w:r>
            <w:proofErr w:type="spellEnd"/>
            <w:r w:rsidRPr="00622C2B">
              <w:rPr>
                <w:b/>
                <w:bCs/>
              </w:rPr>
              <w:t xml:space="preserve"> </w:t>
            </w:r>
            <w:proofErr w:type="spellStart"/>
            <w:r w:rsidRPr="00622C2B">
              <w:rPr>
                <w:b/>
                <w:bCs/>
              </w:rPr>
              <w:t>δημοσιότητ</w:t>
            </w:r>
            <w:proofErr w:type="spellEnd"/>
            <w:r w:rsidRPr="00622C2B">
              <w:rPr>
                <w:b/>
                <w:bCs/>
              </w:rPr>
              <w:t>ας β’</w:t>
            </w:r>
          </w:p>
          <w:p w:rsidR="009B2BA8" w:rsidRPr="00622C2B" w:rsidRDefault="009B2BA8" w:rsidP="00321D4C">
            <w:pPr>
              <w:spacing w:after="0"/>
              <w:rPr>
                <w:rFonts w:eastAsia="Calibri,Bold"/>
                <w:b/>
                <w:bCs/>
                <w:sz w:val="20"/>
                <w:szCs w:val="20"/>
                <w:lang w:val="el-GR"/>
              </w:rPr>
            </w:pPr>
          </w:p>
        </w:tc>
        <w:tc>
          <w:tcPr>
            <w:tcW w:w="2022" w:type="dxa"/>
            <w:shd w:val="clear" w:color="auto" w:fill="auto"/>
          </w:tcPr>
          <w:p w:rsidR="009B2BA8" w:rsidRPr="00622C2B" w:rsidRDefault="009B2BA8" w:rsidP="00321D4C">
            <w:pPr>
              <w:spacing w:after="0"/>
              <w:jc w:val="center"/>
              <w:rPr>
                <w:rFonts w:eastAsia="Calibri,Bold"/>
                <w:b/>
                <w:bCs/>
                <w:sz w:val="20"/>
                <w:szCs w:val="20"/>
                <w:lang w:val="el-GR"/>
              </w:rPr>
            </w:pPr>
            <w:r w:rsidRPr="00622C2B">
              <w:rPr>
                <w:lang w:val="el-GR"/>
              </w:rPr>
              <w:t>……………</w:t>
            </w:r>
          </w:p>
        </w:tc>
        <w:tc>
          <w:tcPr>
            <w:tcW w:w="1835" w:type="dxa"/>
            <w:shd w:val="clear" w:color="auto" w:fill="auto"/>
          </w:tcPr>
          <w:p w:rsidR="009B2BA8" w:rsidRPr="00622C2B" w:rsidRDefault="009B2BA8" w:rsidP="00321D4C">
            <w:pPr>
              <w:spacing w:after="0"/>
              <w:jc w:val="center"/>
              <w:rPr>
                <w:rFonts w:eastAsia="Calibri,Bold"/>
                <w:b/>
                <w:bCs/>
                <w:sz w:val="20"/>
                <w:szCs w:val="20"/>
                <w:lang w:val="el-GR"/>
              </w:rPr>
            </w:pPr>
            <w:r w:rsidRPr="00622C2B">
              <w:rPr>
                <w:lang w:val="el-GR"/>
              </w:rPr>
              <w:t>……………</w:t>
            </w:r>
          </w:p>
        </w:tc>
      </w:tr>
      <w:tr w:rsidR="009B2BA8" w:rsidRPr="00622C2B" w:rsidTr="00321D4C">
        <w:trPr>
          <w:trHeight w:val="175"/>
        </w:trPr>
        <w:tc>
          <w:tcPr>
            <w:tcW w:w="5316" w:type="dxa"/>
            <w:tcBorders>
              <w:top w:val="single" w:sz="4" w:space="0" w:color="156082"/>
              <w:bottom w:val="single" w:sz="4" w:space="0" w:color="156082"/>
              <w:right w:val="nil"/>
            </w:tcBorders>
            <w:shd w:val="clear" w:color="auto" w:fill="FFFFFF"/>
          </w:tcPr>
          <w:p w:rsidR="009B2BA8" w:rsidRPr="00622C2B" w:rsidRDefault="009B2BA8" w:rsidP="00321D4C">
            <w:pPr>
              <w:contextualSpacing/>
              <w:rPr>
                <w:b/>
                <w:bCs/>
              </w:rPr>
            </w:pPr>
            <w:r w:rsidRPr="00622C2B">
              <w:rPr>
                <w:b/>
                <w:bCs/>
              </w:rPr>
              <w:t xml:space="preserve">Π3.3: </w:t>
            </w:r>
            <w:proofErr w:type="spellStart"/>
            <w:r w:rsidRPr="00622C2B">
              <w:rPr>
                <w:b/>
                <w:bCs/>
              </w:rPr>
              <w:t>Έκθεση</w:t>
            </w:r>
            <w:proofErr w:type="spellEnd"/>
            <w:r w:rsidRPr="00622C2B">
              <w:rPr>
                <w:b/>
                <w:bCs/>
              </w:rPr>
              <w:t xml:space="preserve"> πεπρα</w:t>
            </w:r>
            <w:proofErr w:type="spellStart"/>
            <w:r w:rsidRPr="00622C2B">
              <w:rPr>
                <w:b/>
                <w:bCs/>
              </w:rPr>
              <w:t>γμένων</w:t>
            </w:r>
            <w:proofErr w:type="spellEnd"/>
          </w:p>
          <w:p w:rsidR="009B2BA8" w:rsidRPr="00622C2B" w:rsidRDefault="009B2BA8" w:rsidP="00321D4C">
            <w:pPr>
              <w:spacing w:after="0"/>
              <w:rPr>
                <w:rFonts w:eastAsia="Calibri,Bold"/>
                <w:b/>
                <w:bCs/>
                <w:sz w:val="20"/>
                <w:szCs w:val="20"/>
                <w:lang w:val="el-GR"/>
              </w:rPr>
            </w:pPr>
          </w:p>
        </w:tc>
        <w:tc>
          <w:tcPr>
            <w:tcW w:w="2022" w:type="dxa"/>
            <w:tcBorders>
              <w:top w:val="single" w:sz="4" w:space="0" w:color="156082"/>
              <w:bottom w:val="single" w:sz="4" w:space="0" w:color="156082"/>
            </w:tcBorders>
            <w:shd w:val="clear" w:color="auto" w:fill="auto"/>
          </w:tcPr>
          <w:p w:rsidR="009B2BA8" w:rsidRPr="00622C2B" w:rsidRDefault="009B2BA8" w:rsidP="00321D4C">
            <w:pPr>
              <w:spacing w:after="0"/>
              <w:jc w:val="center"/>
              <w:rPr>
                <w:rFonts w:eastAsia="Calibri,Bold"/>
                <w:b/>
                <w:bCs/>
                <w:sz w:val="20"/>
                <w:szCs w:val="20"/>
                <w:lang w:val="el-GR"/>
              </w:rPr>
            </w:pPr>
            <w:r w:rsidRPr="00622C2B">
              <w:rPr>
                <w:lang w:val="el-GR"/>
              </w:rPr>
              <w:t>……………</w:t>
            </w:r>
          </w:p>
        </w:tc>
        <w:tc>
          <w:tcPr>
            <w:tcW w:w="1835" w:type="dxa"/>
            <w:tcBorders>
              <w:top w:val="single" w:sz="4" w:space="0" w:color="156082"/>
              <w:bottom w:val="single" w:sz="4" w:space="0" w:color="156082"/>
            </w:tcBorders>
            <w:shd w:val="clear" w:color="auto" w:fill="auto"/>
          </w:tcPr>
          <w:p w:rsidR="009B2BA8" w:rsidRPr="00622C2B" w:rsidRDefault="009B2BA8" w:rsidP="00321D4C">
            <w:pPr>
              <w:spacing w:after="0"/>
              <w:jc w:val="center"/>
              <w:rPr>
                <w:rFonts w:eastAsia="Calibri,Bold"/>
                <w:b/>
                <w:bCs/>
                <w:sz w:val="20"/>
                <w:szCs w:val="20"/>
                <w:lang w:val="el-GR"/>
              </w:rPr>
            </w:pPr>
            <w:r w:rsidRPr="00622C2B">
              <w:rPr>
                <w:lang w:val="el-GR"/>
              </w:rPr>
              <w:t>……………</w:t>
            </w:r>
          </w:p>
        </w:tc>
      </w:tr>
      <w:tr w:rsidR="009B2BA8" w:rsidRPr="00622C2B" w:rsidTr="00321D4C">
        <w:tc>
          <w:tcPr>
            <w:tcW w:w="5316" w:type="dxa"/>
            <w:tcBorders>
              <w:right w:val="nil"/>
            </w:tcBorders>
            <w:shd w:val="clear" w:color="auto" w:fill="FFFFFF"/>
          </w:tcPr>
          <w:p w:rsidR="009B2BA8" w:rsidRPr="00622C2B" w:rsidRDefault="009B2BA8" w:rsidP="00321D4C">
            <w:pPr>
              <w:spacing w:after="0"/>
              <w:jc w:val="center"/>
              <w:rPr>
                <w:rFonts w:eastAsia="Calibri,Bold"/>
                <w:b/>
                <w:bCs/>
                <w:sz w:val="20"/>
                <w:szCs w:val="20"/>
                <w:lang w:val="el-GR"/>
              </w:rPr>
            </w:pPr>
            <w:r w:rsidRPr="00622C2B">
              <w:rPr>
                <w:rFonts w:eastAsia="Calibri,Bold"/>
                <w:b/>
                <w:bCs/>
                <w:sz w:val="20"/>
                <w:szCs w:val="20"/>
                <w:lang w:val="el-GR"/>
              </w:rPr>
              <w:t>ΣΥΝΟΛΟ</w:t>
            </w:r>
          </w:p>
        </w:tc>
        <w:tc>
          <w:tcPr>
            <w:tcW w:w="2022" w:type="dxa"/>
            <w:shd w:val="clear" w:color="auto" w:fill="auto"/>
          </w:tcPr>
          <w:p w:rsidR="009B2BA8" w:rsidRPr="00622C2B" w:rsidRDefault="009B2BA8" w:rsidP="00321D4C">
            <w:pPr>
              <w:spacing w:after="0"/>
              <w:jc w:val="center"/>
              <w:rPr>
                <w:rFonts w:eastAsia="Calibri,Bold"/>
                <w:b/>
                <w:bCs/>
                <w:sz w:val="20"/>
                <w:szCs w:val="20"/>
                <w:lang w:val="el-GR"/>
              </w:rPr>
            </w:pPr>
            <w:r w:rsidRPr="00622C2B">
              <w:rPr>
                <w:b/>
                <w:bCs/>
                <w:lang w:val="el-GR"/>
              </w:rPr>
              <w:t>……………</w:t>
            </w:r>
          </w:p>
        </w:tc>
        <w:tc>
          <w:tcPr>
            <w:tcW w:w="1835" w:type="dxa"/>
            <w:shd w:val="clear" w:color="auto" w:fill="auto"/>
          </w:tcPr>
          <w:p w:rsidR="009B2BA8" w:rsidRPr="00622C2B" w:rsidRDefault="009B2BA8" w:rsidP="00321D4C">
            <w:pPr>
              <w:spacing w:after="0"/>
              <w:jc w:val="center"/>
              <w:rPr>
                <w:rFonts w:eastAsia="Calibri,Bold"/>
                <w:b/>
                <w:bCs/>
                <w:sz w:val="20"/>
                <w:szCs w:val="20"/>
                <w:lang w:val="el-GR"/>
              </w:rPr>
            </w:pPr>
            <w:r w:rsidRPr="00622C2B">
              <w:rPr>
                <w:b/>
                <w:bCs/>
                <w:lang w:val="el-GR"/>
              </w:rPr>
              <w:t>……………</w:t>
            </w:r>
          </w:p>
        </w:tc>
      </w:tr>
    </w:tbl>
    <w:p w:rsidR="009B2BA8" w:rsidRPr="00CD2815" w:rsidRDefault="009B2BA8" w:rsidP="009B2BA8">
      <w:pPr>
        <w:suppressAutoHyphens w:val="0"/>
        <w:autoSpaceDE w:val="0"/>
        <w:spacing w:after="60"/>
        <w:rPr>
          <w:lang w:val="el-GR"/>
        </w:rPr>
      </w:pPr>
    </w:p>
    <w:p w:rsidR="009B2BA8" w:rsidRPr="00CD2815" w:rsidRDefault="009B2BA8" w:rsidP="009B2BA8">
      <w:pPr>
        <w:pStyle w:val="normalwithoutspacing"/>
      </w:pPr>
      <w:r w:rsidRPr="00CD2815">
        <w:t xml:space="preserve">Χρόνος ισχύος Προσφοράς: </w:t>
      </w:r>
      <w:r w:rsidRPr="00CD2815">
        <w:rPr>
          <w:lang w:eastAsia="el-GR"/>
        </w:rPr>
        <w:t>……………………</w:t>
      </w:r>
    </w:p>
    <w:p w:rsidR="009B2BA8" w:rsidRPr="00CD2815" w:rsidRDefault="009B2BA8" w:rsidP="009B2BA8">
      <w:pPr>
        <w:pStyle w:val="normalwithoutspacing"/>
      </w:pPr>
    </w:p>
    <w:p w:rsidR="009B2BA8" w:rsidRPr="00CD2815" w:rsidRDefault="009B2BA8" w:rsidP="009B2BA8">
      <w:pPr>
        <w:spacing w:after="0" w:line="276" w:lineRule="auto"/>
        <w:rPr>
          <w:lang w:val="el-GR"/>
        </w:rPr>
      </w:pPr>
      <w:r w:rsidRPr="00CD2815">
        <w:rPr>
          <w:lang w:val="el-GR"/>
        </w:rPr>
        <w:t>Η τιμή της παρεχόμενης υπηρεσίας δίνεται σε ευρώ ανά μονάδα.</w:t>
      </w:r>
    </w:p>
    <w:p w:rsidR="009B2BA8" w:rsidRPr="00CD2815" w:rsidRDefault="009B2BA8" w:rsidP="009B2BA8">
      <w:pPr>
        <w:spacing w:after="0" w:line="276" w:lineRule="auto"/>
        <w:rPr>
          <w:lang w:val="el-GR"/>
        </w:rPr>
      </w:pPr>
      <w:r w:rsidRPr="00CD2815">
        <w:rPr>
          <w:lang w:val="el-GR"/>
        </w:rPr>
        <w:t>Στην τιμή περιλαμβάνονται οι υπέρ τρίτων κρατήσεις, ως και κάθε άλλη επιβάρυνση, σύμφωνα με την κείμενη νομοθεσία, για την παροχή των υπηρεσιών στον τόπο και με τον τρόπο που προβλέπεται στα έγγραφα της σύμβασης.</w:t>
      </w:r>
    </w:p>
    <w:p w:rsidR="009B2BA8" w:rsidRPr="004C1AC8" w:rsidRDefault="009B2BA8" w:rsidP="009B2BA8">
      <w:pPr>
        <w:spacing w:after="0" w:line="276" w:lineRule="auto"/>
        <w:rPr>
          <w:u w:val="single"/>
          <w:lang w:val="el-GR"/>
        </w:rPr>
      </w:pPr>
      <w:r w:rsidRPr="00CD2815">
        <w:rPr>
          <w:lang w:val="el-GR"/>
        </w:rPr>
        <w:t>Οι προσφερόμενες τιμές είναι σταθερές καθ’ όλη τη διάρκεια της σύμβασης και δεν αναπροσαρμόζονται.</w:t>
      </w:r>
    </w:p>
    <w:p w:rsidR="009B2BA8" w:rsidRPr="0059455A" w:rsidRDefault="009B2BA8" w:rsidP="009B2BA8">
      <w:pPr>
        <w:spacing w:after="0" w:line="276" w:lineRule="auto"/>
        <w:rPr>
          <w:lang w:val="el-GR"/>
        </w:rPr>
      </w:pPr>
    </w:p>
    <w:p w:rsidR="009B2BA8" w:rsidRDefault="009B2BA8" w:rsidP="009B2BA8">
      <w:pPr>
        <w:spacing w:after="0" w:line="276" w:lineRule="auto"/>
        <w:rPr>
          <w:lang w:val="el-GR"/>
        </w:rPr>
      </w:pPr>
      <w:r>
        <w:rPr>
          <w:lang w:val="el-GR"/>
        </w:rPr>
        <w:t xml:space="preserve">Επισημαίνεται ότι η οικονομική προσφορά του Αναδόχου θα πρέπει να συμπληρωθεί, λαμβάνοντας υπόψη το ΠΑΡΑΡΤΗΜΑ </w:t>
      </w:r>
      <w:r>
        <w:rPr>
          <w:lang w:val="en-US"/>
        </w:rPr>
        <w:t>I</w:t>
      </w:r>
      <w:r>
        <w:rPr>
          <w:lang w:val="el-GR"/>
        </w:rPr>
        <w:t xml:space="preserve">. </w:t>
      </w:r>
    </w:p>
    <w:p w:rsidR="009B2BA8" w:rsidRDefault="009B2BA8" w:rsidP="009B2BA8">
      <w:pPr>
        <w:spacing w:after="0" w:line="276" w:lineRule="auto"/>
        <w:rPr>
          <w:lang w:val="el-GR"/>
        </w:rPr>
      </w:pPr>
    </w:p>
    <w:p w:rsidR="009B2BA8" w:rsidRPr="005960E2" w:rsidRDefault="009B2BA8" w:rsidP="009B2BA8">
      <w:pPr>
        <w:autoSpaceDE w:val="0"/>
        <w:autoSpaceDN w:val="0"/>
        <w:adjustRightInd w:val="0"/>
        <w:spacing w:after="0" w:line="276" w:lineRule="auto"/>
        <w:rPr>
          <w:lang w:val="el-GR"/>
        </w:rPr>
      </w:pPr>
      <w:r w:rsidRPr="005960E2">
        <w:rPr>
          <w:lang w:val="el-GR"/>
        </w:rPr>
        <w:t>Επισημαίνουμε ότι στο στάδιο της οικονομικής αξιολόγησης, η κατάταξη των οικονομικών προσφορών των οικονομικών φορέων σε συγκριτικό πίνακα κατά αύξουσα σειρά του τελικού συνολικού προσφερόμενου κόστους θα γίνει βάσει του «Πίνακας 1: ΠΙΝΑΚΑΣ ΟΙΚΟΝΟΜΙΚΗΣ ΠΡΟΣΦΟΡΑΣ».</w:t>
      </w:r>
    </w:p>
    <w:p w:rsidR="009B2BA8" w:rsidRDefault="009B2BA8" w:rsidP="009B2BA8">
      <w:pPr>
        <w:autoSpaceDE w:val="0"/>
        <w:autoSpaceDN w:val="0"/>
        <w:adjustRightInd w:val="0"/>
        <w:spacing w:after="0" w:line="276" w:lineRule="auto"/>
        <w:rPr>
          <w:lang w:val="el-GR"/>
        </w:rPr>
      </w:pPr>
      <w:r w:rsidRPr="005960E2">
        <w:rPr>
          <w:lang w:val="el-GR"/>
        </w:rPr>
        <w:t>Οι οικονομικοί φορείς υποχρεούνται, με ποινή αποκλεισμού, να εξειδικεύουν τα στοιχεία του ν. 3863/10 αρ.68 όπως τροποποιήθηκε και ισχύει (Πίνακας 2.: ΕΠΕΞΗΓΗΜΑΤΙΚΟΣ ΠΙΝΑΚΑΣ ΒΑΣΕΙ ΤΟΥ Α. 68 ΤΟΥ ν. 3863/10 όπως τροποποιήθηκε και ισχύει).</w:t>
      </w:r>
    </w:p>
    <w:p w:rsidR="000135AA" w:rsidRPr="009B2BA8" w:rsidRDefault="000135AA" w:rsidP="009B2BA8">
      <w:pPr>
        <w:rPr>
          <w:lang w:val="el-GR"/>
        </w:rPr>
      </w:pPr>
      <w:bookmarkStart w:id="4" w:name="_GoBack"/>
      <w:bookmarkEnd w:id="4"/>
    </w:p>
    <w:sectPr w:rsidR="000135AA" w:rsidRPr="009B2B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83" w:usb1="08070000" w:usb2="00000010" w:usb3="00000000" w:csb0="0002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A8"/>
    <w:rsid w:val="000135AA"/>
    <w:rsid w:val="00820EDC"/>
    <w:rsid w:val="009B2B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781E"/>
  <w15:chartTrackingRefBased/>
  <w15:docId w15:val="{1ED2E72B-9F97-4328-8CD0-6415FB19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BA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9B2BA8"/>
    <w:pPr>
      <w:keepNext/>
      <w:keepLines/>
      <w:suppressAutoHyphens w:val="0"/>
      <w:spacing w:before="240" w:after="0" w:line="259" w:lineRule="auto"/>
      <w:jc w:val="left"/>
      <w:outlineLvl w:val="0"/>
    </w:pPr>
    <w:rPr>
      <w:rFonts w:asciiTheme="majorHAnsi" w:eastAsiaTheme="majorEastAsia" w:hAnsiTheme="majorHAnsi" w:cstheme="majorBidi"/>
      <w:color w:val="2E74B5" w:themeColor="accent1" w:themeShade="BF"/>
      <w:sz w:val="32"/>
      <w:szCs w:val="32"/>
      <w:lang w:val="el-GR" w:eastAsia="en-US"/>
    </w:rPr>
  </w:style>
  <w:style w:type="paragraph" w:styleId="2">
    <w:name w:val="heading 2"/>
    <w:basedOn w:val="1"/>
    <w:next w:val="a"/>
    <w:link w:val="2Char"/>
    <w:qFormat/>
    <w:rsid w:val="009B2BA8"/>
    <w:pPr>
      <w:keepLines w:val="0"/>
      <w:pBdr>
        <w:top w:val="none" w:sz="0" w:space="0" w:color="000000"/>
        <w:left w:val="none" w:sz="0" w:space="0" w:color="000000"/>
        <w:bottom w:val="single" w:sz="12" w:space="1" w:color="000080"/>
        <w:right w:val="none" w:sz="0" w:space="0" w:color="00000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B2BA8"/>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9B2BA8"/>
    <w:rPr>
      <w:rFonts w:asciiTheme="majorHAnsi" w:eastAsiaTheme="majorEastAsia" w:hAnsiTheme="majorHAnsi" w:cstheme="majorBidi"/>
      <w:color w:val="2E74B5" w:themeColor="accent1" w:themeShade="BF"/>
      <w:sz w:val="32"/>
      <w:szCs w:val="32"/>
    </w:rPr>
  </w:style>
  <w:style w:type="paragraph" w:customStyle="1" w:styleId="normalwithoutspacing">
    <w:name w:val="normal_without_spacing"/>
    <w:basedOn w:val="a"/>
    <w:rsid w:val="009B2BA8"/>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1273</Characters>
  <Application>Microsoft Office Word</Application>
  <DocSecurity>0</DocSecurity>
  <Lines>10</Lines>
  <Paragraphs>3</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ΠΑΡΑΡΤΗΜΑ IV – Υπόδειγμα Οικονομικής Προσφοράς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Κακαδιάρης Παναγιώτης</dc:creator>
  <cp:keywords/>
  <dc:description/>
  <cp:lastModifiedBy>Κακαδιάρης Παναγιώτης</cp:lastModifiedBy>
  <cp:revision>2</cp:revision>
  <dcterms:created xsi:type="dcterms:W3CDTF">2025-08-06T07:00:00Z</dcterms:created>
  <dcterms:modified xsi:type="dcterms:W3CDTF">2025-08-06T07:04:00Z</dcterms:modified>
</cp:coreProperties>
</file>