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FD" w:rsidRPr="001224FD" w:rsidRDefault="001224FD" w:rsidP="001224FD">
      <w:pPr>
        <w:spacing w:after="0" w:line="276" w:lineRule="auto"/>
        <w:jc w:val="center"/>
        <w:rPr>
          <w:rFonts w:ascii="Calibri" w:eastAsia="Times New Roman" w:hAnsi="Calibri" w:cs="Tahoma"/>
          <w:b/>
          <w:color w:val="000000"/>
          <w:lang w:eastAsia="el-GR"/>
        </w:rPr>
      </w:pPr>
      <w:r w:rsidRPr="001224FD">
        <w:rPr>
          <w:rFonts w:ascii="Calibri" w:eastAsia="Times New Roman" w:hAnsi="Calibri" w:cs="Tahoma"/>
          <w:b/>
          <w:color w:val="000000"/>
          <w:lang w:eastAsia="el-GR"/>
        </w:rPr>
        <w:t>ΠΑΡΑΡΤΗΜΑ ΙΙ</w:t>
      </w:r>
    </w:p>
    <w:p w:rsidR="001224FD" w:rsidRPr="001224FD" w:rsidRDefault="001224FD" w:rsidP="001224FD">
      <w:pPr>
        <w:spacing w:after="0" w:line="276" w:lineRule="auto"/>
        <w:jc w:val="center"/>
        <w:rPr>
          <w:rFonts w:ascii="Calibri" w:eastAsia="Times New Roman" w:hAnsi="Calibri" w:cs="Tahoma"/>
          <w:color w:val="000000"/>
          <w:lang w:eastAsia="el-GR"/>
        </w:rPr>
      </w:pPr>
      <w:r w:rsidRPr="001224FD">
        <w:rPr>
          <w:rFonts w:ascii="Calibri" w:eastAsia="Times New Roman" w:hAnsi="Calibri" w:cs="Tahoma"/>
          <w:color w:val="000000"/>
          <w:lang w:eastAsia="el-GR"/>
        </w:rPr>
        <w:t>ΟΙΚΟΝΟΜΙΚΗ ΠΡΟΣΦΟΡΑ</w:t>
      </w:r>
    </w:p>
    <w:p w:rsidR="001224FD" w:rsidRPr="001224FD" w:rsidRDefault="001224FD" w:rsidP="001224FD">
      <w:pPr>
        <w:suppressAutoHyphens/>
        <w:autoSpaceDE w:val="0"/>
        <w:autoSpaceDN w:val="0"/>
        <w:adjustRightInd w:val="0"/>
        <w:spacing w:before="60" w:after="60"/>
        <w:contextualSpacing/>
        <w:jc w:val="both"/>
        <w:rPr>
          <w:rFonts w:ascii="Calibri" w:eastAsia="Times New Roman" w:hAnsi="Calibri" w:cs="Calibri"/>
        </w:rPr>
      </w:pPr>
    </w:p>
    <w:p w:rsidR="001224FD" w:rsidRPr="001224FD" w:rsidRDefault="001224FD" w:rsidP="001224FD">
      <w:pPr>
        <w:spacing w:after="0" w:line="240" w:lineRule="auto"/>
        <w:rPr>
          <w:rFonts w:ascii="Calibri" w:eastAsia="Times New Roman" w:hAnsi="Calibri" w:cs="Calibri"/>
        </w:rPr>
      </w:pPr>
    </w:p>
    <w:tbl>
      <w:tblPr>
        <w:tblStyle w:val="7"/>
        <w:tblW w:w="9477" w:type="dxa"/>
        <w:jc w:val="center"/>
        <w:tblLook w:val="04A0" w:firstRow="1" w:lastRow="0" w:firstColumn="1" w:lastColumn="0" w:noHBand="0" w:noVBand="1"/>
      </w:tblPr>
      <w:tblGrid>
        <w:gridCol w:w="3560"/>
        <w:gridCol w:w="1974"/>
        <w:gridCol w:w="1616"/>
        <w:gridCol w:w="2327"/>
      </w:tblGrid>
      <w:tr w:rsidR="001224FD" w:rsidRPr="001224FD" w:rsidTr="00964C32">
        <w:trPr>
          <w:trHeight w:val="251"/>
          <w:jc w:val="center"/>
        </w:trPr>
        <w:tc>
          <w:tcPr>
            <w:tcW w:w="3681" w:type="dxa"/>
            <w:vAlign w:val="center"/>
          </w:tcPr>
          <w:p w:rsidR="001224FD" w:rsidRPr="001224FD" w:rsidRDefault="001224FD" w:rsidP="001224FD">
            <w:pPr>
              <w:spacing w:after="200" w:line="276" w:lineRule="auto"/>
              <w:jc w:val="center"/>
              <w:rPr>
                <w:rFonts w:eastAsia="Times New Roman" w:cs="Calibri"/>
                <w:bCs/>
                <w:color w:val="000000"/>
                <w:u w:val="single"/>
              </w:rPr>
            </w:pPr>
            <w:r w:rsidRPr="001224FD">
              <w:rPr>
                <w:rFonts w:eastAsia="Times New Roman" w:cs="Calibri"/>
                <w:color w:val="000000"/>
              </w:rPr>
              <w:t>Περιγραφή Έργου</w:t>
            </w:r>
          </w:p>
        </w:tc>
        <w:tc>
          <w:tcPr>
            <w:tcW w:w="2017" w:type="dxa"/>
            <w:vAlign w:val="center"/>
          </w:tcPr>
          <w:p w:rsidR="001224FD" w:rsidRPr="001224FD" w:rsidRDefault="001224FD" w:rsidP="001224FD">
            <w:pPr>
              <w:spacing w:after="200" w:line="276" w:lineRule="auto"/>
              <w:jc w:val="center"/>
              <w:rPr>
                <w:rFonts w:eastAsia="Times New Roman" w:cs="Calibri"/>
                <w:bCs/>
                <w:color w:val="000000"/>
                <w:u w:val="single"/>
              </w:rPr>
            </w:pPr>
            <w:r w:rsidRPr="001224FD">
              <w:rPr>
                <w:rFonts w:eastAsia="Times New Roman" w:cs="Calibri"/>
                <w:color w:val="000000"/>
              </w:rPr>
              <w:t>Σύνολο οικονομικής προσφοράς πλέον Φ.Π.Α. 24% (€)</w:t>
            </w:r>
          </w:p>
        </w:tc>
        <w:tc>
          <w:tcPr>
            <w:tcW w:w="1668" w:type="dxa"/>
            <w:vAlign w:val="center"/>
          </w:tcPr>
          <w:p w:rsidR="001224FD" w:rsidRPr="001224FD" w:rsidRDefault="001224FD" w:rsidP="001224FD">
            <w:pPr>
              <w:spacing w:after="200" w:line="276" w:lineRule="auto"/>
              <w:jc w:val="center"/>
              <w:rPr>
                <w:rFonts w:eastAsia="Times New Roman" w:cs="Calibri"/>
                <w:bCs/>
                <w:color w:val="000000"/>
              </w:rPr>
            </w:pPr>
            <w:r w:rsidRPr="001224FD">
              <w:rPr>
                <w:rFonts w:eastAsia="Times New Roman" w:cs="Calibri"/>
                <w:color w:val="000000"/>
              </w:rPr>
              <w:t>Φ.Π.Α. 24% (€)</w:t>
            </w:r>
          </w:p>
        </w:tc>
        <w:tc>
          <w:tcPr>
            <w:tcW w:w="2111" w:type="dxa"/>
            <w:vAlign w:val="center"/>
          </w:tcPr>
          <w:p w:rsidR="001224FD" w:rsidRPr="001224FD" w:rsidRDefault="001224FD" w:rsidP="001224FD">
            <w:pPr>
              <w:spacing w:after="200" w:line="276" w:lineRule="auto"/>
              <w:jc w:val="center"/>
              <w:rPr>
                <w:rFonts w:eastAsia="Times New Roman" w:cs="Calibri"/>
                <w:bCs/>
                <w:color w:val="000000"/>
              </w:rPr>
            </w:pPr>
            <w:r w:rsidRPr="001224FD">
              <w:rPr>
                <w:rFonts w:eastAsia="Times New Roman" w:cs="Calibri"/>
                <w:color w:val="000000"/>
              </w:rPr>
              <w:t xml:space="preserve">Σύνολο οικονομικής προσφοράς </w:t>
            </w:r>
            <w:bookmarkStart w:id="0" w:name="_GoBack"/>
            <w:bookmarkEnd w:id="0"/>
            <w:r w:rsidRPr="001224FD">
              <w:rPr>
                <w:rFonts w:eastAsia="Times New Roman" w:cs="Calibri"/>
                <w:color w:val="000000"/>
              </w:rPr>
              <w:t>συμπεριλαμβανομένου Φ.Π.Α. 24% (€)</w:t>
            </w:r>
          </w:p>
        </w:tc>
      </w:tr>
      <w:tr w:rsidR="001224FD" w:rsidRPr="001224FD" w:rsidTr="00964C32">
        <w:trPr>
          <w:trHeight w:val="327"/>
          <w:jc w:val="center"/>
        </w:trPr>
        <w:tc>
          <w:tcPr>
            <w:tcW w:w="3681" w:type="dxa"/>
            <w:vMerge w:val="restart"/>
          </w:tcPr>
          <w:p w:rsidR="001224FD" w:rsidRPr="006D00BB" w:rsidRDefault="00104D1F" w:rsidP="00104D1F">
            <w:pPr>
              <w:spacing w:line="276" w:lineRule="auto"/>
              <w:jc w:val="both"/>
              <w:rPr>
                <w:rFonts w:eastAsia="Times New Roman" w:cs="Calibri"/>
                <w:bCs/>
                <w:lang w:eastAsia="el-GR"/>
              </w:rPr>
            </w:pPr>
            <w:r w:rsidRPr="00104D1F">
              <w:t>«</w:t>
            </w:r>
            <w:r w:rsidR="00FE0BE8">
              <w:t xml:space="preserve">Εκπόνηση </w:t>
            </w:r>
            <w:r w:rsidR="006D00BB" w:rsidRPr="006D00BB">
              <w:t>Μελέτη</w:t>
            </w:r>
            <w:r w:rsidR="00FE0BE8">
              <w:t>ς</w:t>
            </w:r>
            <w:r w:rsidR="006D00BB" w:rsidRPr="006D00BB">
              <w:t xml:space="preserve"> Ενεργητικής και Παθητικής Πυρασφάλειας καθώς και Ανανέωση του Πιστοποιητικού Πυρασφάλειας και </w:t>
            </w:r>
            <w:proofErr w:type="spellStart"/>
            <w:r w:rsidR="006D00BB" w:rsidRPr="006D00BB">
              <w:t>επικαιροποίηση</w:t>
            </w:r>
            <w:proofErr w:type="spellEnd"/>
            <w:r w:rsidR="006D00BB" w:rsidRPr="006D00BB">
              <w:t xml:space="preserve"> των σχεδίων διαφυγής για το κτήριο όπου στεγάζεται το Ινστιτούτο Εκπαιδευτικής Πολιτικής</w:t>
            </w:r>
            <w:r w:rsidR="006D00BB">
              <w:t>»</w:t>
            </w:r>
          </w:p>
        </w:tc>
        <w:tc>
          <w:tcPr>
            <w:tcW w:w="2017" w:type="dxa"/>
            <w:vMerge w:val="restart"/>
          </w:tcPr>
          <w:p w:rsidR="001224FD" w:rsidRPr="001224FD" w:rsidRDefault="001224FD" w:rsidP="001224FD">
            <w:pPr>
              <w:spacing w:after="200" w:line="276" w:lineRule="auto"/>
              <w:rPr>
                <w:rFonts w:eastAsia="Times New Roman" w:cs="Calibri"/>
                <w:bCs/>
                <w:color w:val="000000"/>
                <w:u w:val="single"/>
              </w:rPr>
            </w:pPr>
          </w:p>
        </w:tc>
        <w:tc>
          <w:tcPr>
            <w:tcW w:w="1668" w:type="dxa"/>
            <w:vMerge w:val="restart"/>
          </w:tcPr>
          <w:p w:rsidR="001224FD" w:rsidRPr="001224FD" w:rsidRDefault="001224FD" w:rsidP="001224FD">
            <w:pPr>
              <w:spacing w:after="200" w:line="276" w:lineRule="auto"/>
              <w:rPr>
                <w:rFonts w:eastAsia="Times New Roman" w:cs="Calibri"/>
                <w:bCs/>
                <w:color w:val="000000"/>
                <w:u w:val="single"/>
              </w:rPr>
            </w:pPr>
          </w:p>
        </w:tc>
        <w:tc>
          <w:tcPr>
            <w:tcW w:w="2111" w:type="dxa"/>
            <w:vMerge w:val="restart"/>
          </w:tcPr>
          <w:p w:rsidR="001224FD" w:rsidRPr="001224FD" w:rsidRDefault="001224FD" w:rsidP="001224FD">
            <w:pPr>
              <w:spacing w:after="200" w:line="276" w:lineRule="auto"/>
              <w:rPr>
                <w:rFonts w:eastAsia="Times New Roman" w:cs="Calibri"/>
                <w:bCs/>
                <w:color w:val="000000"/>
                <w:u w:val="single"/>
              </w:rPr>
            </w:pPr>
          </w:p>
        </w:tc>
      </w:tr>
      <w:tr w:rsidR="001224FD" w:rsidRPr="001224FD" w:rsidTr="00964C32">
        <w:trPr>
          <w:trHeight w:val="619"/>
          <w:jc w:val="center"/>
        </w:trPr>
        <w:tc>
          <w:tcPr>
            <w:tcW w:w="3681" w:type="dxa"/>
            <w:vMerge/>
          </w:tcPr>
          <w:p w:rsidR="001224FD" w:rsidRPr="001224FD" w:rsidRDefault="001224FD" w:rsidP="001224FD">
            <w:pPr>
              <w:spacing w:after="200" w:line="276" w:lineRule="auto"/>
              <w:rPr>
                <w:rFonts w:eastAsia="Times New Roman" w:cs="Calibri"/>
                <w:b/>
                <w:bCs/>
                <w:color w:val="000000"/>
              </w:rPr>
            </w:pPr>
          </w:p>
        </w:tc>
        <w:tc>
          <w:tcPr>
            <w:tcW w:w="2017" w:type="dxa"/>
            <w:vMerge/>
          </w:tcPr>
          <w:p w:rsidR="001224FD" w:rsidRPr="001224FD" w:rsidRDefault="001224FD" w:rsidP="001224FD">
            <w:pPr>
              <w:spacing w:after="200" w:line="276" w:lineRule="auto"/>
              <w:rPr>
                <w:rFonts w:eastAsia="Times New Roman" w:cs="Calibri"/>
                <w:b/>
                <w:color w:val="000000"/>
                <w:u w:val="single"/>
              </w:rPr>
            </w:pPr>
          </w:p>
        </w:tc>
        <w:tc>
          <w:tcPr>
            <w:tcW w:w="1668" w:type="dxa"/>
            <w:vMerge/>
          </w:tcPr>
          <w:p w:rsidR="001224FD" w:rsidRPr="001224FD" w:rsidRDefault="001224FD" w:rsidP="001224FD">
            <w:pPr>
              <w:spacing w:after="200" w:line="276" w:lineRule="auto"/>
              <w:rPr>
                <w:rFonts w:eastAsia="Times New Roman" w:cs="Calibri"/>
                <w:b/>
                <w:color w:val="000000"/>
                <w:u w:val="single"/>
              </w:rPr>
            </w:pPr>
          </w:p>
        </w:tc>
        <w:tc>
          <w:tcPr>
            <w:tcW w:w="2111" w:type="dxa"/>
            <w:vMerge/>
          </w:tcPr>
          <w:p w:rsidR="001224FD" w:rsidRPr="001224FD" w:rsidRDefault="001224FD" w:rsidP="001224FD">
            <w:pPr>
              <w:spacing w:after="200" w:line="276" w:lineRule="auto"/>
              <w:rPr>
                <w:rFonts w:eastAsia="Times New Roman" w:cs="Calibri"/>
                <w:b/>
                <w:color w:val="000000"/>
                <w:u w:val="single"/>
              </w:rPr>
            </w:pPr>
          </w:p>
        </w:tc>
      </w:tr>
      <w:tr w:rsidR="001224FD" w:rsidRPr="001224FD" w:rsidTr="00964C32">
        <w:trPr>
          <w:trHeight w:val="619"/>
          <w:jc w:val="center"/>
        </w:trPr>
        <w:tc>
          <w:tcPr>
            <w:tcW w:w="3681" w:type="dxa"/>
            <w:vMerge/>
          </w:tcPr>
          <w:p w:rsidR="001224FD" w:rsidRPr="001224FD" w:rsidRDefault="001224FD" w:rsidP="001224FD">
            <w:pPr>
              <w:spacing w:after="200" w:line="276" w:lineRule="auto"/>
              <w:rPr>
                <w:rFonts w:eastAsia="Times New Roman" w:cs="Calibri"/>
                <w:b/>
                <w:bCs/>
                <w:color w:val="000000"/>
              </w:rPr>
            </w:pPr>
          </w:p>
        </w:tc>
        <w:tc>
          <w:tcPr>
            <w:tcW w:w="2017" w:type="dxa"/>
            <w:vMerge/>
          </w:tcPr>
          <w:p w:rsidR="001224FD" w:rsidRPr="001224FD" w:rsidRDefault="001224FD" w:rsidP="001224FD">
            <w:pPr>
              <w:spacing w:after="200" w:line="276" w:lineRule="auto"/>
              <w:rPr>
                <w:rFonts w:eastAsia="Times New Roman" w:cs="Calibri"/>
                <w:b/>
                <w:color w:val="000000"/>
                <w:u w:val="single"/>
              </w:rPr>
            </w:pPr>
          </w:p>
        </w:tc>
        <w:tc>
          <w:tcPr>
            <w:tcW w:w="1668" w:type="dxa"/>
            <w:vMerge/>
          </w:tcPr>
          <w:p w:rsidR="001224FD" w:rsidRPr="001224FD" w:rsidRDefault="001224FD" w:rsidP="001224FD">
            <w:pPr>
              <w:spacing w:after="200" w:line="276" w:lineRule="auto"/>
              <w:rPr>
                <w:rFonts w:eastAsia="Times New Roman" w:cs="Calibri"/>
                <w:b/>
                <w:color w:val="000000"/>
                <w:u w:val="single"/>
              </w:rPr>
            </w:pPr>
          </w:p>
        </w:tc>
        <w:tc>
          <w:tcPr>
            <w:tcW w:w="2111" w:type="dxa"/>
            <w:vMerge/>
          </w:tcPr>
          <w:p w:rsidR="001224FD" w:rsidRPr="001224FD" w:rsidRDefault="001224FD" w:rsidP="001224FD">
            <w:pPr>
              <w:spacing w:after="200" w:line="276" w:lineRule="auto"/>
              <w:rPr>
                <w:rFonts w:eastAsia="Times New Roman" w:cs="Calibri"/>
                <w:b/>
                <w:color w:val="000000"/>
                <w:u w:val="single"/>
              </w:rPr>
            </w:pPr>
          </w:p>
        </w:tc>
      </w:tr>
    </w:tbl>
    <w:p w:rsidR="001224FD" w:rsidRPr="001224FD" w:rsidRDefault="001224FD" w:rsidP="001224FD">
      <w:pPr>
        <w:spacing w:after="0" w:line="240" w:lineRule="auto"/>
        <w:rPr>
          <w:rFonts w:ascii="Calibri" w:eastAsia="Times New Roman" w:hAnsi="Calibri" w:cs="Calibri"/>
        </w:rPr>
      </w:pPr>
    </w:p>
    <w:p w:rsidR="001224FD" w:rsidRPr="001224FD" w:rsidRDefault="001224FD" w:rsidP="001224FD">
      <w:pPr>
        <w:spacing w:after="0" w:line="360" w:lineRule="auto"/>
        <w:ind w:left="-567"/>
        <w:jc w:val="both"/>
        <w:rPr>
          <w:rFonts w:ascii="Calibri" w:eastAsia="Times New Roman" w:hAnsi="Calibri" w:cs="Times New Roman"/>
        </w:rPr>
      </w:pPr>
      <w:r w:rsidRPr="001224FD">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1224FD" w:rsidRPr="001224FD" w:rsidRDefault="001224FD" w:rsidP="001224FD">
      <w:pPr>
        <w:spacing w:after="0" w:line="360" w:lineRule="auto"/>
        <w:jc w:val="center"/>
        <w:rPr>
          <w:rFonts w:ascii="Calibri" w:eastAsia="Times New Roman" w:hAnsi="Calibri" w:cs="Times New Roman"/>
          <w:bCs/>
        </w:rPr>
      </w:pPr>
      <w:r w:rsidRPr="001224FD">
        <w:rPr>
          <w:rFonts w:ascii="Calibri" w:eastAsia="Times New Roman" w:hAnsi="Calibri" w:cs="Times New Roman"/>
        </w:rPr>
        <w:t>Στοιχεία Προσφέροντος (Οικονομικού Φορέα)</w:t>
      </w:r>
    </w:p>
    <w:p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Επωνυμία: </w:t>
      </w:r>
      <w:r w:rsidRPr="001224FD">
        <w:rPr>
          <w:rFonts w:ascii="Calibri" w:eastAsia="Times New Roman" w:hAnsi="Calibri" w:cs="Times New Roman"/>
        </w:rPr>
        <w:tab/>
      </w:r>
    </w:p>
    <w:p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ΑΦΜ / ΔΟΥ: </w:t>
      </w:r>
      <w:r w:rsidRPr="001224FD">
        <w:rPr>
          <w:rFonts w:ascii="Calibri" w:eastAsia="Times New Roman" w:hAnsi="Calibri" w:cs="Times New Roman"/>
        </w:rPr>
        <w:tab/>
      </w:r>
    </w:p>
    <w:p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Διεύθυνση: </w:t>
      </w:r>
      <w:r w:rsidRPr="001224FD">
        <w:rPr>
          <w:rFonts w:ascii="Calibri" w:eastAsia="Times New Roman" w:hAnsi="Calibri" w:cs="Times New Roman"/>
        </w:rPr>
        <w:tab/>
      </w:r>
    </w:p>
    <w:p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Τηλέφωνο Επικοινωνίας:</w:t>
      </w:r>
      <w:r w:rsidRPr="001224FD">
        <w:rPr>
          <w:rFonts w:ascii="Calibri" w:eastAsia="Times New Roman" w:hAnsi="Calibri" w:cs="Times New Roman"/>
        </w:rPr>
        <w:tab/>
      </w:r>
    </w:p>
    <w:p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Ηλεκτρονικό Ταχυδρομείο: </w:t>
      </w:r>
      <w:r w:rsidRPr="001224FD">
        <w:rPr>
          <w:rFonts w:ascii="Calibri" w:eastAsia="Times New Roman" w:hAnsi="Calibri" w:cs="Times New Roman"/>
        </w:rPr>
        <w:tab/>
      </w:r>
    </w:p>
    <w:p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Νόμιμος Εκπρόσωπος (Ονοματεπώνυμο, Ιδιότητα):</w:t>
      </w:r>
      <w:r w:rsidRPr="001224FD">
        <w:rPr>
          <w:rFonts w:ascii="Calibri" w:eastAsia="Times New Roman" w:hAnsi="Calibri" w:cs="Times New Roman"/>
        </w:rPr>
        <w:tab/>
      </w:r>
    </w:p>
    <w:p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ab/>
      </w:r>
    </w:p>
    <w:p w:rsidR="001224FD" w:rsidRPr="001224FD" w:rsidRDefault="001224FD" w:rsidP="001224FD">
      <w:pPr>
        <w:spacing w:after="0" w:line="360" w:lineRule="auto"/>
        <w:rPr>
          <w:rFonts w:ascii="Calibri" w:eastAsia="Times New Roman" w:hAnsi="Calibri" w:cs="Times New Roman"/>
        </w:rPr>
      </w:pPr>
    </w:p>
    <w:p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Ημερομηνία: ……/….…./……….</w:t>
      </w:r>
    </w:p>
    <w:p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Ο Νόμιμος Εκπρόσωπος:</w:t>
      </w:r>
    </w:p>
    <w:p w:rsidR="001224FD" w:rsidRPr="001224FD" w:rsidRDefault="001224FD" w:rsidP="001224FD">
      <w:pPr>
        <w:spacing w:after="0" w:line="240" w:lineRule="auto"/>
        <w:jc w:val="center"/>
        <w:rPr>
          <w:rFonts w:ascii="Calibri" w:eastAsia="Times New Roman" w:hAnsi="Calibri" w:cs="Times New Roman"/>
        </w:rPr>
      </w:pPr>
    </w:p>
    <w:p w:rsidR="001224FD" w:rsidRPr="001224FD" w:rsidRDefault="001224FD" w:rsidP="001224FD">
      <w:pPr>
        <w:spacing w:after="0" w:line="240" w:lineRule="auto"/>
        <w:jc w:val="center"/>
        <w:rPr>
          <w:rFonts w:ascii="Calibri" w:eastAsia="Times New Roman" w:hAnsi="Calibri" w:cs="Times New Roman"/>
        </w:rPr>
      </w:pPr>
    </w:p>
    <w:p w:rsidR="001224FD" w:rsidRPr="001224FD" w:rsidRDefault="001224FD" w:rsidP="001224FD">
      <w:pPr>
        <w:spacing w:after="0" w:line="240" w:lineRule="auto"/>
        <w:jc w:val="center"/>
        <w:rPr>
          <w:rFonts w:ascii="Calibri" w:eastAsia="Times New Roman" w:hAnsi="Calibri" w:cs="Times New Roman"/>
        </w:rPr>
      </w:pPr>
    </w:p>
    <w:p w:rsidR="00C560FF"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(Υπογραφή – Σφραγίδα)</w:t>
      </w:r>
    </w:p>
    <w:sectPr w:rsidR="00C560FF" w:rsidRPr="001224FD"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CD" w:rsidRDefault="005A4C90">
      <w:pPr>
        <w:spacing w:after="0" w:line="240" w:lineRule="auto"/>
      </w:pPr>
      <w:r>
        <w:separator/>
      </w:r>
    </w:p>
  </w:endnote>
  <w:endnote w:type="continuationSeparator" w:id="0">
    <w:p w:rsidR="00FF36CD" w:rsidRDefault="005A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96"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sidR="00964C32">
      <w:rPr>
        <w:b/>
        <w:bCs/>
        <w:noProof/>
        <w:sz w:val="16"/>
        <w:szCs w:val="16"/>
      </w:rPr>
      <w:t>1</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sidR="00964C32">
      <w:rPr>
        <w:b/>
        <w:bCs/>
        <w:noProof/>
        <w:sz w:val="16"/>
        <w:szCs w:val="16"/>
      </w:rPr>
      <w:t>1</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CD" w:rsidRDefault="005A4C90">
      <w:pPr>
        <w:spacing w:after="0" w:line="240" w:lineRule="auto"/>
      </w:pPr>
      <w:r>
        <w:separator/>
      </w:r>
    </w:p>
  </w:footnote>
  <w:footnote w:type="continuationSeparator" w:id="0">
    <w:p w:rsidR="00FF36CD" w:rsidRDefault="005A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EA"/>
    <w:rsid w:val="00104D1F"/>
    <w:rsid w:val="001224FD"/>
    <w:rsid w:val="0027574E"/>
    <w:rsid w:val="005A4C90"/>
    <w:rsid w:val="006D00BB"/>
    <w:rsid w:val="00964C32"/>
    <w:rsid w:val="009A4754"/>
    <w:rsid w:val="00C560FF"/>
    <w:rsid w:val="00D36BEA"/>
    <w:rsid w:val="00FE0BE8"/>
    <w:rsid w:val="00FF36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4ADF1-B9EA-4F5B-99AC-4F5CAA45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3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4"/>
    <w:uiPriority w:val="39"/>
    <w:rsid w:val="00122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788</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Πατσούρη Δήμητρα</dc:creator>
  <cp:keywords/>
  <dc:description/>
  <cp:lastModifiedBy>Κοβάνη Μαρία</cp:lastModifiedBy>
  <cp:revision>8</cp:revision>
  <dcterms:created xsi:type="dcterms:W3CDTF">2025-05-05T09:44:00Z</dcterms:created>
  <dcterms:modified xsi:type="dcterms:W3CDTF">2025-06-25T08:24:00Z</dcterms:modified>
</cp:coreProperties>
</file>