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6762"/>
      </w:tblGrid>
      <w:tr w:rsidR="00076DEE" w:rsidRPr="0014374C" w:rsidTr="0014374C">
        <w:trPr>
          <w:trHeight w:val="948"/>
          <w:tblCellSpacing w:w="15" w:type="dxa"/>
        </w:trPr>
        <w:tc>
          <w:tcPr>
            <w:tcW w:w="4964" w:type="pct"/>
            <w:gridSpan w:val="2"/>
            <w:vAlign w:val="center"/>
            <w:hideMark/>
          </w:tcPr>
          <w:p w:rsidR="00076DEE" w:rsidRPr="0014374C" w:rsidRDefault="00076DEE" w:rsidP="003633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Συμπτυγμένη εφαρμογή και μεταποίηση </w:t>
            </w:r>
            <w:r w:rsidR="00591DFD">
              <w:rPr>
                <w:rFonts w:ascii="Times New Roman" w:hAnsi="Times New Roman" w:cs="Times New Roman"/>
                <w:b/>
                <w:sz w:val="24"/>
                <w:szCs w:val="24"/>
              </w:rPr>
              <w:t>αρχικού</w:t>
            </w:r>
            <w:r w:rsidR="0036339C"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σεναρίου</w:t>
            </w:r>
            <w:r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του ΠΡΩΤΕΑ</w:t>
            </w:r>
          </w:p>
          <w:p w:rsidR="00076DEE" w:rsidRPr="00767438" w:rsidRDefault="00977FB7" w:rsidP="003633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38">
              <w:rPr>
                <w:rFonts w:ascii="Times New Roman" w:hAnsi="Times New Roman" w:cs="Times New Roman"/>
                <w:b/>
                <w:sz w:val="24"/>
                <w:szCs w:val="24"/>
              </w:rPr>
              <w:t>«Ο μάντης, ο κήρυκας και η πτώση»</w:t>
            </w:r>
          </w:p>
          <w:p w:rsidR="003F3614" w:rsidRPr="00827425" w:rsidRDefault="003F3614" w:rsidP="003633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Δημιουργός: Στάθης Παπ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ακωνσταντίνου</w:t>
            </w:r>
          </w:p>
        </w:tc>
      </w:tr>
      <w:tr w:rsidR="00076DEE" w:rsidRPr="0014374C" w:rsidTr="0014374C">
        <w:trPr>
          <w:trHeight w:val="1486"/>
          <w:tblCellSpacing w:w="15" w:type="dxa"/>
        </w:trPr>
        <w:tc>
          <w:tcPr>
            <w:tcW w:w="959" w:type="pct"/>
            <w:vAlign w:val="center"/>
          </w:tcPr>
          <w:p w:rsidR="00076DEE" w:rsidRPr="0014374C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Διδακτική Ενότητα</w:t>
            </w:r>
          </w:p>
        </w:tc>
        <w:tc>
          <w:tcPr>
            <w:tcW w:w="0" w:type="auto"/>
            <w:vAlign w:val="center"/>
          </w:tcPr>
          <w:p w:rsidR="00076DEE" w:rsidRPr="0014374C" w:rsidRDefault="00076DEE" w:rsidP="00076D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</w:t>
            </w:r>
            <w:r w:rsidR="00591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΄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Λυκείου</w:t>
            </w:r>
          </w:p>
          <w:p w:rsidR="00076DEE" w:rsidRPr="0014374C" w:rsidRDefault="009F0561" w:rsidP="00076D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Αρχαίοι Έλληνες Ιστοριογράφοι</w:t>
            </w:r>
          </w:p>
          <w:p w:rsidR="00214BDC" w:rsidRPr="0014374C" w:rsidRDefault="00214BDC" w:rsidP="00076D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2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Ξενοφώντος</w:t>
            </w:r>
            <w:r w:rsidR="005C2E52" w:rsidRPr="0082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5C2E52" w:rsidRPr="008274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Ε</w:t>
            </w:r>
            <w:r w:rsidRPr="008274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λληνικά</w:t>
            </w:r>
            <w:r w:rsidRPr="0082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– Βιβλίο 2. Κεφάλαιο 4. §13-17</w:t>
            </w:r>
          </w:p>
          <w:p w:rsidR="00076DEE" w:rsidRPr="0014374C" w:rsidRDefault="00076DEE" w:rsidP="00076D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27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  <w:r w:rsidR="005C2E52" w:rsidRPr="0082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ενοφώντος </w:t>
            </w:r>
            <w:r w:rsidR="005C2E52" w:rsidRPr="008274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Ε</w:t>
            </w:r>
            <w:r w:rsidRPr="008274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λλη</w:t>
            </w:r>
            <w:r w:rsidR="00214BDC" w:rsidRPr="008274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νικά</w:t>
            </w:r>
            <w:r w:rsidR="00214BDC" w:rsidRPr="0082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– Βιβλίο 2. Κεφάλαιο 4. §20</w:t>
            </w:r>
            <w:r w:rsidRPr="0082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-23</w:t>
            </w:r>
          </w:p>
        </w:tc>
      </w:tr>
      <w:tr w:rsidR="006730E3" w:rsidRPr="0014374C" w:rsidTr="0014374C">
        <w:trPr>
          <w:trHeight w:val="1486"/>
          <w:tblCellSpacing w:w="15" w:type="dxa"/>
        </w:trPr>
        <w:tc>
          <w:tcPr>
            <w:tcW w:w="959" w:type="pct"/>
            <w:vAlign w:val="center"/>
          </w:tcPr>
          <w:p w:rsidR="006730E3" w:rsidRDefault="006730E3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Αρχικό σενάριο</w:t>
            </w:r>
          </w:p>
          <w:p w:rsidR="006730E3" w:rsidRPr="00EF15A4" w:rsidRDefault="001C56E0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(</w:t>
            </w:r>
            <w:r w:rsidR="006730E3" w:rsidRPr="00EF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8 διδακτικές ώρες)</w:t>
            </w:r>
          </w:p>
        </w:tc>
        <w:tc>
          <w:tcPr>
            <w:tcW w:w="0" w:type="auto"/>
            <w:vAlign w:val="center"/>
          </w:tcPr>
          <w:p w:rsidR="006730E3" w:rsidRPr="006730E3" w:rsidRDefault="006730E3" w:rsidP="00591D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σενάριο εστιάζει σε μια ποικιλία θεμάτων που αξιολογούν την κριτική ματιά και τη διεισδυτικότητα της σκέψης του ιστορικού Ξενοφώντα. Πιο συγκεκριμένα, μελετώνται:</w:t>
            </w:r>
          </w:p>
          <w:p w:rsidR="006730E3" w:rsidRPr="006730E3" w:rsidRDefault="006730E3" w:rsidP="00591DFD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μετάπτωση του πλάγιου λόγου σε ευθύ ως στοιχείο ύφους αλλά και κριτήριο κατανόησης των λεπτομερειών που ο ιστορικός θεωρεί ουσιώδεις.</w:t>
            </w:r>
          </w:p>
          <w:p w:rsidR="006730E3" w:rsidRPr="006730E3" w:rsidRDefault="006730E3" w:rsidP="00591DFD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κατά πόσο η προφητεία του μάντη και η δυναμική παρέμβαση του Κλεόκριτου κατά τη διάρκεια της αναίρεσης των νεκρών σχετίζονται με την τελική νίκη των δημοκρατικών.</w:t>
            </w:r>
          </w:p>
          <w:p w:rsidR="006730E3" w:rsidRPr="006730E3" w:rsidRDefault="006730E3" w:rsidP="00591DFD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Ανθρώπινες συμπεριφορές και στάσεις, θέματα κοινωνικής και πολιτικής ζωής ή βαθύτατα φιλοσοφικά που αναδεικνύονται από την ευσύνοπτη ιστορική αφήγηση του Ξενοφώντα.</w:t>
            </w:r>
          </w:p>
          <w:p w:rsidR="006730E3" w:rsidRPr="006730E3" w:rsidRDefault="006730E3" w:rsidP="00591DFD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γλωσσική διάσταση του κειμένου: μετάφραση, φαινόμενα γραμματικά (παραθετικά) και συντακτικά (σύστοιχο αντικείμενο, χρονική μετοχή), μελέτη των χαρακτηριστικών του κειμενικού είδους του ρητορικού λόγου μέσα από τον λόγο του Κλεόκριτου.</w:t>
            </w:r>
          </w:p>
          <w:p w:rsidR="006730E3" w:rsidRPr="006730E3" w:rsidRDefault="006730E3" w:rsidP="00591DFD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σύγκριση με σύγχρονες καταστάσεις, η ανεπηρέαστη αξιολόγηση συμπεριφορών και δράσεων, η ιστορική ενσυναίσθηση, η επιβολή και αναγνώριση κοινωνικών προτύπων ως στοιχεία αξιοποιήσιμα στη διδασκαλία για τη διαμόρφωση των ταυτοτήτων τόσο του διδάσκοντα όσο και του μαθητή.</w:t>
            </w:r>
          </w:p>
          <w:p w:rsidR="006730E3" w:rsidRPr="00827425" w:rsidRDefault="006730E3" w:rsidP="0082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30E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Τέλος, ζητούμενο είναι η ενεργός συμμετοχή των μαθητών με την αξιοποίηση της ανακαλυπτικής-διερευνητικής μάθησης και της ομαδοσυνεργατικής μεθόδου αλλά και την ενσωμάτωση των ΤΠΕ.</w:t>
            </w:r>
          </w:p>
        </w:tc>
      </w:tr>
      <w:tr w:rsidR="00977FB7" w:rsidRPr="0014374C" w:rsidTr="0014374C">
        <w:trPr>
          <w:trHeight w:val="2359"/>
          <w:tblCellSpacing w:w="15" w:type="dxa"/>
        </w:trPr>
        <w:tc>
          <w:tcPr>
            <w:tcW w:w="959" w:type="pct"/>
            <w:vAlign w:val="center"/>
          </w:tcPr>
          <w:p w:rsidR="00977FB7" w:rsidRPr="0014374C" w:rsidRDefault="00977FB7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Πρόταση</w:t>
            </w:r>
          </w:p>
        </w:tc>
        <w:tc>
          <w:tcPr>
            <w:tcW w:w="0" w:type="auto"/>
            <w:vAlign w:val="center"/>
          </w:tcPr>
          <w:p w:rsidR="00977FB7" w:rsidRPr="00827425" w:rsidRDefault="0036339C" w:rsidP="006128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Συγκριτική μελέτη των </w:t>
            </w:r>
            <w:r w:rsidR="00977FB7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ρητορικών λόγων</w:t>
            </w:r>
            <w:r w:rsidR="00977FB7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Θρασύβουλου και του Κλεόκριτου. </w:t>
            </w:r>
            <w:r w:rsidR="00977FB7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Ανίχνευση των χαρακτηριστικών γνωρισμάτων ενός </w:t>
            </w:r>
            <w:r w:rsidR="00977FB7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τυπικού ρητορικού λόγου</w:t>
            </w:r>
            <w:r w:rsidR="00977FB7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στον λόγο του Θρασύβουλου. </w:t>
            </w:r>
            <w:r w:rsidR="00977FB7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Εντοπισμός ομοιοτήτων και διαφορών</w:t>
            </w:r>
            <w:r w:rsidR="00977FB7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ως προς την ταυτότητα των ομιλητών,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τον επικοινωνιακό τους σκοπό, την επικοινωνιακή περίσταση, το ακροατήριο στο οποίο απευθύνονται, τα μέσα πειθούς που χρησιμοποιούν και τον βαθμό πειστικότητας και αληθοφάνειας</w:t>
            </w:r>
            <w:r w:rsidR="00827425" w:rsidRPr="00827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274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των λόγων τους.</w:t>
            </w:r>
          </w:p>
        </w:tc>
      </w:tr>
      <w:tr w:rsidR="00076DEE" w:rsidRPr="0014374C" w:rsidTr="0014374C">
        <w:trPr>
          <w:tblCellSpacing w:w="15" w:type="dxa"/>
        </w:trPr>
        <w:tc>
          <w:tcPr>
            <w:tcW w:w="959" w:type="pct"/>
            <w:vAlign w:val="center"/>
            <w:hideMark/>
          </w:tcPr>
          <w:p w:rsidR="00076DEE" w:rsidRPr="0014374C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Σκεπτικό-Στόχοι</w:t>
            </w:r>
          </w:p>
        </w:tc>
        <w:tc>
          <w:tcPr>
            <w:tcW w:w="0" w:type="auto"/>
            <w:vAlign w:val="center"/>
            <w:hideMark/>
          </w:tcPr>
          <w:p w:rsidR="00076DEE" w:rsidRPr="0014374C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Γνώσεις για τον κόσμο</w:t>
            </w:r>
          </w:p>
          <w:p w:rsidR="00076DEE" w:rsidRPr="0014374C" w:rsidRDefault="00214BDC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θεσμοί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στην αρχαία Αθήνα</w:t>
            </w:r>
            <w:r w:rsidR="00076DEE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076DEE" w:rsidRPr="0014374C" w:rsidRDefault="00214BDC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Κοινωνική και πολιτική ζωή</w:t>
            </w:r>
            <w:r w:rsidR="001A571E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στην αρχαία Ελλάδα: </w:t>
            </w:r>
            <w:r w:rsidR="001A571E" w:rsidRPr="0014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η συμμετοχή σε θρησκευτικές εκδηλώσεις και τελετές</w:t>
            </w:r>
            <w:r w:rsidR="00011C34" w:rsidRPr="0014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στην κοινωνική, σχολική και στρατιωτική ζωή, στους αγώνες</w:t>
            </w:r>
            <w:r w:rsidR="00723C90" w:rsidRPr="0014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για την προστασία της πατρίδας, η</w:t>
            </w:r>
            <w:r w:rsidR="00011C34" w:rsidRPr="0014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συγγένεια εξ αίματος ή εξ αγχιστείας, η συντροφικότητα σε συλλόγους ή λέσχες.</w:t>
            </w:r>
          </w:p>
          <w:p w:rsidR="00076DEE" w:rsidRPr="0014374C" w:rsidRDefault="00214BDC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Χαρακτηριστικά γνωρίσματα του 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αρχαίου Αθηναίου πολίτη</w:t>
            </w:r>
            <w:r w:rsidR="00076DEE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076DEE" w:rsidRPr="0014374C" w:rsidRDefault="00076DEE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  <w:t xml:space="preserve"> </w:t>
            </w:r>
            <w:r w:rsidR="00214BDC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σημασία της </w:t>
            </w:r>
            <w:r w:rsidR="00214BDC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ρητορείας</w:t>
            </w:r>
            <w:r w:rsidR="00214BDC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στον αρχαίο ελληνικό πολιτισμό και η συμβολή της στις πολιτικές εξελίξεις.</w:t>
            </w:r>
          </w:p>
          <w:p w:rsidR="00076DEE" w:rsidRPr="0014374C" w:rsidRDefault="0071202D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ρόλος </w:t>
            </w:r>
            <w:r w:rsidR="008D509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πολιτικού και θρησκευτικού ηγέτη</w:t>
            </w:r>
            <w:r w:rsidR="00076DEE" w:rsidRPr="001437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  <w:t>.</w:t>
            </w:r>
          </w:p>
          <w:p w:rsidR="00076DEE" w:rsidRPr="0014374C" w:rsidRDefault="0071202D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σημασία της 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θρησκείας</w:t>
            </w:r>
            <w:r w:rsidR="009F0561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 δημιουργία συνεκτικών δεσμών</w:t>
            </w:r>
            <w:r w:rsidR="00076DEE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71202D" w:rsidRPr="0014374C" w:rsidRDefault="0071202D" w:rsidP="00076DE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Ενιαίος χαρακτήρας της 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γλώσσας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 την αρχαιότητα έως σήμερα.</w:t>
            </w:r>
          </w:p>
          <w:p w:rsidR="00076DEE" w:rsidRPr="0014374C" w:rsidRDefault="00076DEE" w:rsidP="00076DEE">
            <w:pPr>
              <w:keepNext/>
              <w:suppressAutoHyphens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l-GR"/>
              </w:rPr>
            </w:pPr>
          </w:p>
          <w:p w:rsidR="00076DEE" w:rsidRPr="0014374C" w:rsidRDefault="00076DEE" w:rsidP="00076DEE">
            <w:pPr>
              <w:keepNext/>
              <w:suppressAutoHyphens/>
              <w:spacing w:after="0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el-GR"/>
              </w:rPr>
              <w:t>Γνώσεις για τη γλώσσα</w:t>
            </w:r>
          </w:p>
          <w:p w:rsidR="00076DEE" w:rsidRPr="0014374C" w:rsidRDefault="00076DEE" w:rsidP="00076DEE">
            <w:pPr>
              <w:keepNext/>
              <w:suppressAutoHyphens/>
              <w:spacing w:after="0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F0561" w:rsidRPr="0014374C" w:rsidRDefault="00076DEE" w:rsidP="009F0561">
            <w:pPr>
              <w:spacing w:before="300" w:after="3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Μορφολογία</w:t>
            </w:r>
          </w:p>
          <w:p w:rsidR="002A5B24" w:rsidRPr="0014374C" w:rsidRDefault="00076DEE" w:rsidP="0036339C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9F0561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Σχήματα λόγου (πολυσύνδετο σχήμα</w:t>
            </w:r>
            <w:r w:rsidR="00C56159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σχήμα αντίθεσης</w:t>
            </w:r>
            <w:r w:rsidR="009F0561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8D5098" w:rsidRPr="0014374C" w:rsidRDefault="0036339C" w:rsidP="0036339C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D509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Ρητορικές ερωτήσεις</w:t>
            </w:r>
          </w:p>
          <w:p w:rsidR="008D5098" w:rsidRPr="0014374C" w:rsidRDefault="0036339C" w:rsidP="008D5098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D509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Λειτουργία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D509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ρηματικών προσώπων (α΄ και β΄ πληθυντικό)</w:t>
            </w:r>
          </w:p>
          <w:p w:rsidR="00C56159" w:rsidRPr="0014374C" w:rsidRDefault="00076DEE" w:rsidP="008D5098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Σύνταξη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229FB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Εγκλίσεις στις ανεξάρτητες προτάσεις</w:t>
            </w:r>
          </w:p>
          <w:p w:rsidR="00076DEE" w:rsidRPr="0014374C" w:rsidRDefault="00076DEE" w:rsidP="009F0561">
            <w:pPr>
              <w:numPr>
                <w:ilvl w:val="0"/>
                <w:numId w:val="1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Λεξιλόγιο - Σημασιολογία</w:t>
            </w:r>
          </w:p>
          <w:p w:rsidR="002A5B24" w:rsidRPr="0014374C" w:rsidRDefault="00076DEE" w:rsidP="0036339C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8229FB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Λέξεις και όροι που σημαίνουν </w:t>
            </w:r>
            <w:r w:rsidR="00335E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="008229FB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κοινωνία, μέθεξη, συμμετοχή</w:t>
            </w:r>
            <w:r w:rsidR="00335E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</w:p>
          <w:p w:rsidR="00076DEE" w:rsidRPr="0014374C" w:rsidRDefault="00076DEE" w:rsidP="002A5B24">
            <w:pPr>
              <w:numPr>
                <w:ilvl w:val="0"/>
                <w:numId w:val="1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Κειμενικά είδη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71202D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Ρητορικός λ</w:t>
            </w:r>
            <w:r w:rsidR="00F56359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όγος</w:t>
            </w:r>
          </w:p>
          <w:p w:rsidR="001F188A" w:rsidRPr="0014374C" w:rsidRDefault="00076DEE" w:rsidP="001F188A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2A5B24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2A5B24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Προσχεδιασμένος προφορικός λόγος</w:t>
            </w:r>
            <w:r w:rsidR="002A5B24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μεικτό είδος λόγου.  </w:t>
            </w:r>
            <w:r w:rsidR="002A5B24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Στοιχεία προφορικότητας</w:t>
            </w:r>
            <w:r w:rsidR="002A5B24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(παραγλωσσικά στοιχεία, εξωγλωσσικά στοιχεία, παραστατικότητα, παρατακτική σύνταξη). </w:t>
            </w:r>
            <w:r w:rsidR="002A5B24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Στοιχεία γραπτού λόγου</w:t>
            </w:r>
            <w:r w:rsidR="002A5B24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(δομή, προσεγμένο ύφος, φροντισμένη σύνταξη, επιλεγμένο λεξιλόγιο, συγκεκριμένα εκφραστικά μέσα). </w:t>
            </w:r>
          </w:p>
          <w:p w:rsidR="008B32B8" w:rsidRPr="0014374C" w:rsidRDefault="008B32B8" w:rsidP="001F188A">
            <w:pPr>
              <w:spacing w:before="300" w:after="30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Παράγραφος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</w:t>
            </w:r>
            <w:r w:rsidRPr="0033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σύγκριση </w:t>
            </w:r>
            <w:r w:rsidR="00335EB6" w:rsidRPr="0033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–</w:t>
            </w:r>
            <w:r w:rsidRPr="0033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αντίθεση</w:t>
            </w:r>
            <w:r w:rsidR="00335E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όπου οι μαθητές θα αποτυπώσουν τα αποτελέσματα της συγκριτικής μελέτης των λόγων του Θρασύβουλου και του Κλεόκριτου.</w:t>
            </w:r>
          </w:p>
          <w:p w:rsidR="001F188A" w:rsidRPr="0014374C" w:rsidRDefault="001F188A" w:rsidP="001F188A">
            <w:pPr>
              <w:numPr>
                <w:ilvl w:val="0"/>
                <w:numId w:val="1"/>
              </w:numPr>
              <w:spacing w:before="30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Επικοινωνιακό πλαίσιο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πομπός, δέκτης, μήνυμα, περίσταση και συνθήκες επικοινωνίας </w:t>
            </w:r>
          </w:p>
          <w:p w:rsidR="001F188A" w:rsidRPr="0014374C" w:rsidRDefault="001F188A" w:rsidP="001F188A">
            <w:pPr>
              <w:numPr>
                <w:ilvl w:val="0"/>
                <w:numId w:val="1"/>
              </w:numPr>
              <w:spacing w:before="30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Τρόποι πειθούς: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 xml:space="preserve">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επίκληση στη λογική</w:t>
            </w:r>
            <w:r w:rsidR="006117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 στο συναίσθημα</w:t>
            </w:r>
            <w:r w:rsidR="006117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 στο ήθος του πομπού, επίθεση στο ήθος του αντιπάλου</w:t>
            </w:r>
          </w:p>
          <w:p w:rsidR="0071202D" w:rsidRPr="0014374C" w:rsidRDefault="0071202D" w:rsidP="00977FB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1C2121" w:rsidRDefault="001C2121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076DEE" w:rsidRPr="0014374C" w:rsidRDefault="00C56159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Γ</w:t>
            </w:r>
            <w:r w:rsidR="00076DEE"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ραμματισμοί</w:t>
            </w:r>
          </w:p>
          <w:p w:rsidR="00A33A4E" w:rsidRPr="0014374C" w:rsidRDefault="0025565D" w:rsidP="001F188A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Σχολικός γραμματισμός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8B32B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(ανάπτυξη γνωσιακών δεξιοτήτων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ικανότητα διαχείρισης αφηρημένων εννοιών</w:t>
            </w:r>
            <w:r w:rsidR="008B32B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τρόποι πειθούς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A33A4E" w:rsidRPr="0014374C" w:rsidRDefault="00A33A4E" w:rsidP="001F188A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Αναγνωριστικός γραμματισμός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(σύνταξη</w:t>
            </w:r>
            <w:r w:rsidR="001D4A35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λεξιλόγιο</w:t>
            </w:r>
            <w:r w:rsidR="003B6E07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ποικιλότητα γλώσσας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625EF1" w:rsidRPr="0014374C" w:rsidRDefault="00A33A4E" w:rsidP="001F188A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Κριτικός γραμματισμός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="00154259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εντοπι</w:t>
            </w:r>
            <w:r w:rsidR="00591DF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σμός σκοπιμοτήτων και διαθέσεων</w:t>
            </w:r>
            <w:r w:rsidR="00154259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πίσω από τις γλωσσικές επιλογές</w:t>
            </w:r>
            <w:r w:rsidR="008B32B8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</w:t>
            </w:r>
            <w:r w:rsidR="00625EF1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νάπτυξη κριτικής σκέψης</w:t>
            </w:r>
            <w:r w:rsidR="00154259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076DEE" w:rsidRPr="0014374C" w:rsidRDefault="00076DEE" w:rsidP="001F188A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Πρακτικές γραμματισμού</w:t>
            </w: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: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Ανάγνωση, γραφή, επικοινωνία.</w:t>
            </w:r>
          </w:p>
          <w:p w:rsidR="00076DEE" w:rsidRPr="0014374C" w:rsidRDefault="00076DEE" w:rsidP="001F188A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Κειμενικοί τρόποι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71202D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Μονοτροπικό</w:t>
            </w:r>
          </w:p>
          <w:p w:rsidR="00076DEE" w:rsidRPr="0014374C" w:rsidRDefault="00076DEE" w:rsidP="001F188A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 xml:space="preserve">Κειμενικοί τύποι: </w:t>
            </w:r>
            <w:r w:rsidR="0071202D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πιχειρηματολογία</w:t>
            </w:r>
          </w:p>
          <w:p w:rsidR="00076DEE" w:rsidRPr="0014374C" w:rsidRDefault="00076DEE" w:rsidP="00076DEE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 xml:space="preserve">Κειμενικά είδη: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D4A35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Επιχειρηματολογι</w:t>
            </w:r>
            <w:r w:rsidR="00625EF1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κά 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4374C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Πολιτικού λόγου/ρητορικά</w:t>
            </w:r>
          </w:p>
          <w:p w:rsidR="00076DEE" w:rsidRPr="0014374C" w:rsidRDefault="00076DEE" w:rsidP="0025565D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Ανάγνωση</w:t>
            </w:r>
            <w:r w:rsidR="00F56359"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κριτική, συγκριτική ανάγνωση των κειμένων</w:t>
            </w:r>
          </w:p>
          <w:p w:rsidR="00076DEE" w:rsidRPr="0014374C" w:rsidRDefault="00C43725" w:rsidP="0025565D">
            <w:pPr>
              <w:numPr>
                <w:ilvl w:val="0"/>
                <w:numId w:val="4"/>
              </w:num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Παραγωγή γραπτού λόγου</w:t>
            </w:r>
          </w:p>
        </w:tc>
      </w:tr>
      <w:tr w:rsidR="00076DEE" w:rsidRPr="0014374C" w:rsidTr="0014374C">
        <w:trPr>
          <w:trHeight w:val="1575"/>
          <w:tblCellSpacing w:w="15" w:type="dxa"/>
        </w:trPr>
        <w:tc>
          <w:tcPr>
            <w:tcW w:w="959" w:type="pct"/>
            <w:vAlign w:val="center"/>
          </w:tcPr>
          <w:p w:rsidR="00076DEE" w:rsidRPr="0014374C" w:rsidRDefault="00076DEE" w:rsidP="00076DEE">
            <w:pPr>
              <w:suppressAutoHyphens/>
              <w:spacing w:before="12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6DEE" w:rsidRPr="0014374C" w:rsidRDefault="00076DEE" w:rsidP="00076DEE">
            <w:pPr>
              <w:suppressAutoHyphens/>
              <w:spacing w:before="12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Διδακτικές πρακτικές</w:t>
            </w:r>
          </w:p>
        </w:tc>
        <w:tc>
          <w:tcPr>
            <w:tcW w:w="0" w:type="auto"/>
            <w:vAlign w:val="center"/>
          </w:tcPr>
          <w:p w:rsidR="00076DEE" w:rsidRPr="0014374C" w:rsidRDefault="00076DEE" w:rsidP="001F188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C">
              <w:rPr>
                <w:rFonts w:ascii="Times New Roman" w:hAnsi="Times New Roman" w:cs="Times New Roman"/>
                <w:sz w:val="24"/>
                <w:szCs w:val="24"/>
              </w:rPr>
              <w:t>Ανακαλυπτική</w:t>
            </w:r>
            <w:r w:rsidR="00F56359"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359"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>διερευνητική</w:t>
            </w:r>
            <w:r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 μάθηση</w:t>
            </w:r>
          </w:p>
          <w:p w:rsidR="00076DEE" w:rsidRPr="0014374C" w:rsidRDefault="00F56359" w:rsidP="001F188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>Μαθητοκεντρικό μοντέλο</w:t>
            </w:r>
            <w:r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 διδασκαλίας</w:t>
            </w:r>
          </w:p>
          <w:p w:rsidR="00076DEE" w:rsidRPr="0014374C" w:rsidRDefault="00625EF1" w:rsidP="001F188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Διαθεματικότητα </w:t>
            </w:r>
          </w:p>
          <w:p w:rsidR="00076DEE" w:rsidRPr="0014374C" w:rsidRDefault="001F188A" w:rsidP="001F188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C"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="00625EF1"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νταξη του </w:t>
            </w:r>
            <w:r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αρχαίου </w:t>
            </w:r>
            <w:r w:rsidR="00625EF1"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κειμένου στα </w:t>
            </w:r>
            <w:r w:rsidR="00625EF1"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συμφραζόμενά </w:t>
            </w:r>
            <w:r w:rsidR="00625EF1"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του, διαίρεση του κειμένου </w:t>
            </w:r>
            <w:r w:rsidR="00625EF1" w:rsidRPr="0014374C">
              <w:rPr>
                <w:rFonts w:ascii="Times New Roman" w:hAnsi="Times New Roman" w:cs="Times New Roman"/>
                <w:b/>
                <w:sz w:val="24"/>
                <w:szCs w:val="24"/>
              </w:rPr>
              <w:t>κατά κώλα</w:t>
            </w:r>
          </w:p>
        </w:tc>
      </w:tr>
      <w:tr w:rsidR="00625EF1" w:rsidRPr="0014374C" w:rsidTr="0014374C">
        <w:trPr>
          <w:trHeight w:val="774"/>
          <w:tblCellSpacing w:w="15" w:type="dxa"/>
        </w:trPr>
        <w:tc>
          <w:tcPr>
            <w:tcW w:w="959" w:type="pct"/>
            <w:vAlign w:val="center"/>
          </w:tcPr>
          <w:p w:rsidR="00625EF1" w:rsidRPr="0014374C" w:rsidRDefault="00625EF1" w:rsidP="00625EF1">
            <w:pPr>
              <w:suppressAutoHyphens/>
              <w:spacing w:before="12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Μαθητικές ταυτότητες</w:t>
            </w:r>
          </w:p>
        </w:tc>
        <w:tc>
          <w:tcPr>
            <w:tcW w:w="0" w:type="auto"/>
            <w:vAlign w:val="center"/>
          </w:tcPr>
          <w:p w:rsidR="00591DFD" w:rsidRDefault="001F188A" w:rsidP="001F188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591DFD">
              <w:rPr>
                <w:rFonts w:ascii="Times New Roman" w:hAnsi="Times New Roman" w:cs="Times New Roman"/>
                <w:sz w:val="24"/>
                <w:szCs w:val="24"/>
              </w:rPr>
              <w:t>υνεργατικές δεξιότητες</w:t>
            </w:r>
          </w:p>
          <w:p w:rsidR="00625EF1" w:rsidRPr="0014374C" w:rsidRDefault="00591DFD" w:rsidP="001F188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="00977FB7" w:rsidRPr="0014374C">
              <w:rPr>
                <w:rFonts w:ascii="Times New Roman" w:hAnsi="Times New Roman" w:cs="Times New Roman"/>
                <w:sz w:val="24"/>
                <w:szCs w:val="24"/>
              </w:rPr>
              <w:t xml:space="preserve">κανότητες κριτικής ανάγνωσης της πραγματικότητας </w:t>
            </w:r>
          </w:p>
        </w:tc>
      </w:tr>
      <w:tr w:rsidR="00076DEE" w:rsidRPr="0014374C" w:rsidTr="0014374C">
        <w:trPr>
          <w:tblCellSpacing w:w="15" w:type="dxa"/>
        </w:trPr>
        <w:tc>
          <w:tcPr>
            <w:tcW w:w="959" w:type="pct"/>
            <w:vAlign w:val="center"/>
            <w:hideMark/>
          </w:tcPr>
          <w:p w:rsidR="00076DEE" w:rsidRPr="0014374C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Χώρος</w:t>
            </w:r>
          </w:p>
        </w:tc>
        <w:tc>
          <w:tcPr>
            <w:tcW w:w="0" w:type="auto"/>
            <w:vAlign w:val="center"/>
            <w:hideMark/>
          </w:tcPr>
          <w:p w:rsidR="00076DEE" w:rsidRPr="0014374C" w:rsidRDefault="00076DEE" w:rsidP="001F188A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Εντός σχολείου</w:t>
            </w:r>
          </w:p>
        </w:tc>
      </w:tr>
      <w:tr w:rsidR="00076DEE" w:rsidRPr="0014374C" w:rsidTr="0014374C">
        <w:trPr>
          <w:tblCellSpacing w:w="15" w:type="dxa"/>
        </w:trPr>
        <w:tc>
          <w:tcPr>
            <w:tcW w:w="959" w:type="pct"/>
            <w:vAlign w:val="center"/>
            <w:hideMark/>
          </w:tcPr>
          <w:p w:rsidR="00076DEE" w:rsidRPr="0014374C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4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Χρονική διάρκεια</w:t>
            </w:r>
          </w:p>
        </w:tc>
        <w:tc>
          <w:tcPr>
            <w:tcW w:w="0" w:type="auto"/>
            <w:vAlign w:val="center"/>
            <w:hideMark/>
          </w:tcPr>
          <w:p w:rsidR="00076DEE" w:rsidRPr="005C2E52" w:rsidRDefault="00F56359" w:rsidP="005C2E52">
            <w:pPr>
              <w:pStyle w:val="a3"/>
              <w:numPr>
                <w:ilvl w:val="0"/>
                <w:numId w:val="6"/>
              </w:num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2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="00076DEE" w:rsidRPr="005C2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διδακτικές ώρες</w:t>
            </w:r>
          </w:p>
        </w:tc>
      </w:tr>
    </w:tbl>
    <w:p w:rsidR="00FC2F68" w:rsidRPr="00706454" w:rsidRDefault="00FC2F68" w:rsidP="003B6E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2F68" w:rsidRPr="00706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7DD"/>
    <w:multiLevelType w:val="hybridMultilevel"/>
    <w:tmpl w:val="0E10D8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0314"/>
    <w:multiLevelType w:val="hybridMultilevel"/>
    <w:tmpl w:val="7F661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6A4F"/>
    <w:multiLevelType w:val="hybridMultilevel"/>
    <w:tmpl w:val="EB56D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6361"/>
    <w:multiLevelType w:val="hybridMultilevel"/>
    <w:tmpl w:val="B7ACF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C4B52"/>
    <w:multiLevelType w:val="hybridMultilevel"/>
    <w:tmpl w:val="9070A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2708A"/>
    <w:multiLevelType w:val="hybridMultilevel"/>
    <w:tmpl w:val="9D2C3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5122"/>
    <w:multiLevelType w:val="hybridMultilevel"/>
    <w:tmpl w:val="A302F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750BD"/>
    <w:multiLevelType w:val="hybridMultilevel"/>
    <w:tmpl w:val="3AE84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E"/>
    <w:rsid w:val="00011C34"/>
    <w:rsid w:val="00076DEE"/>
    <w:rsid w:val="0014374C"/>
    <w:rsid w:val="00154259"/>
    <w:rsid w:val="001A571E"/>
    <w:rsid w:val="001C2121"/>
    <w:rsid w:val="001C56E0"/>
    <w:rsid w:val="001D4A35"/>
    <w:rsid w:val="001F188A"/>
    <w:rsid w:val="00214BDC"/>
    <w:rsid w:val="0025565D"/>
    <w:rsid w:val="002A5B24"/>
    <w:rsid w:val="00335EB6"/>
    <w:rsid w:val="0036339C"/>
    <w:rsid w:val="003B6E07"/>
    <w:rsid w:val="003F3614"/>
    <w:rsid w:val="00591DFD"/>
    <w:rsid w:val="005C2E52"/>
    <w:rsid w:val="0061179F"/>
    <w:rsid w:val="006128FA"/>
    <w:rsid w:val="00625EF1"/>
    <w:rsid w:val="006730E3"/>
    <w:rsid w:val="00706454"/>
    <w:rsid w:val="0071202D"/>
    <w:rsid w:val="00723C90"/>
    <w:rsid w:val="00767438"/>
    <w:rsid w:val="008229FB"/>
    <w:rsid w:val="00827425"/>
    <w:rsid w:val="008B32B8"/>
    <w:rsid w:val="008D5098"/>
    <w:rsid w:val="00977FB7"/>
    <w:rsid w:val="009F0561"/>
    <w:rsid w:val="00A33A4E"/>
    <w:rsid w:val="00AA721C"/>
    <w:rsid w:val="00AD53BF"/>
    <w:rsid w:val="00C43725"/>
    <w:rsid w:val="00C56159"/>
    <w:rsid w:val="00CA49CE"/>
    <w:rsid w:val="00E05FE9"/>
    <w:rsid w:val="00E70D6A"/>
    <w:rsid w:val="00EF15A4"/>
    <w:rsid w:val="00F56359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E"/>
  </w:style>
  <w:style w:type="paragraph" w:styleId="1">
    <w:name w:val="heading 1"/>
    <w:basedOn w:val="a"/>
    <w:next w:val="a"/>
    <w:link w:val="1Char"/>
    <w:uiPriority w:val="9"/>
    <w:qFormat/>
    <w:rsid w:val="00076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EE"/>
    <w:pPr>
      <w:ind w:left="720"/>
      <w:contextualSpacing/>
    </w:pPr>
  </w:style>
  <w:style w:type="paragraph" w:customStyle="1" w:styleId="a4">
    <w:name w:val="Επικεφαλίδα υπότιτλων"/>
    <w:basedOn w:val="1"/>
    <w:qFormat/>
    <w:rsid w:val="00076DE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bCs w:val="0"/>
      <w:i/>
      <w:color w:val="auto"/>
      <w:sz w:val="24"/>
      <w:szCs w:val="20"/>
      <w:lang w:val="x-none" w:eastAsia="el-GR"/>
    </w:rPr>
  </w:style>
  <w:style w:type="character" w:customStyle="1" w:styleId="1Char">
    <w:name w:val="Επικεφαλίδα 1 Char"/>
    <w:basedOn w:val="a0"/>
    <w:link w:val="1"/>
    <w:uiPriority w:val="9"/>
    <w:rsid w:val="0007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214BD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4BD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1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E"/>
  </w:style>
  <w:style w:type="paragraph" w:styleId="1">
    <w:name w:val="heading 1"/>
    <w:basedOn w:val="a"/>
    <w:next w:val="a"/>
    <w:link w:val="1Char"/>
    <w:uiPriority w:val="9"/>
    <w:qFormat/>
    <w:rsid w:val="00076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EE"/>
    <w:pPr>
      <w:ind w:left="720"/>
      <w:contextualSpacing/>
    </w:pPr>
  </w:style>
  <w:style w:type="paragraph" w:customStyle="1" w:styleId="a4">
    <w:name w:val="Επικεφαλίδα υπότιτλων"/>
    <w:basedOn w:val="1"/>
    <w:qFormat/>
    <w:rsid w:val="00076DE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bCs w:val="0"/>
      <w:i/>
      <w:color w:val="auto"/>
      <w:sz w:val="24"/>
      <w:szCs w:val="20"/>
      <w:lang w:val="x-none" w:eastAsia="el-GR"/>
    </w:rPr>
  </w:style>
  <w:style w:type="character" w:customStyle="1" w:styleId="1Char">
    <w:name w:val="Επικεφαλίδα 1 Char"/>
    <w:basedOn w:val="a0"/>
    <w:link w:val="1"/>
    <w:uiPriority w:val="9"/>
    <w:rsid w:val="0007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214BD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4BD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10</cp:revision>
  <cp:lastPrinted>2019-02-26T07:20:00Z</cp:lastPrinted>
  <dcterms:created xsi:type="dcterms:W3CDTF">2019-02-19T07:10:00Z</dcterms:created>
  <dcterms:modified xsi:type="dcterms:W3CDTF">2019-02-26T07:23:00Z</dcterms:modified>
</cp:coreProperties>
</file>